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0001180366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Smartbird,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001-40963</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425 Page Mill Road</w:t>
              <w:br/>
              <w:t>Suite 200</w:t>
              <w:br/>
              <w:t>Palo Alto</w:t>
              <w:br/>
              <w:t xml:space="preserve">CALIFORNIA </w:t>
              <w:br/>
              <w:t>94306</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6282254848</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Richard Wallace Boyce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- 10th Floor</w:t>
              <w:br/>
              <w:t>New York   NY   10017</w:t>
            </w:r>
          </w:p>
        </w:tc>
        <w:tc>
          <w:tcPr>
            <w:tcW w:w="1176" w:type="dxa"/>
            <w:tcBorders/>
            <w:vAlign w:val="center"/>
          </w:tcPr>
          <w:p>
            <w:pPr>
              <w:pStyle w:val="TableContents"/>
              <w:bidi w:val="0"/>
              <w:spacing w:before="0" w:after="283"/>
              <w:jc w:val="left"/>
              <w:rPr/>
            </w:pPr>
            <w:r>
              <w:rPr/>
              <w:t>48277</w:t>
            </w:r>
          </w:p>
        </w:tc>
        <w:tc>
          <w:tcPr>
            <w:tcW w:w="1385" w:type="dxa"/>
            <w:tcBorders/>
            <w:vAlign w:val="center"/>
          </w:tcPr>
          <w:p>
            <w:pPr>
              <w:pStyle w:val="TableContents"/>
              <w:bidi w:val="0"/>
              <w:spacing w:before="0" w:after="283"/>
              <w:jc w:val="left"/>
              <w:rPr/>
            </w:pPr>
            <w:r>
              <w:rPr/>
              <w:t>117795</w:t>
            </w:r>
          </w:p>
        </w:tc>
        <w:tc>
          <w:tcPr>
            <w:tcW w:w="1559" w:type="dxa"/>
            <w:tcBorders/>
            <w:vAlign w:val="center"/>
          </w:tcPr>
          <w:p>
            <w:pPr>
              <w:pStyle w:val="TableContents"/>
              <w:bidi w:val="0"/>
              <w:spacing w:before="0" w:after="283"/>
              <w:jc w:val="left"/>
              <w:rPr/>
            </w:pPr>
            <w:r>
              <w:rPr/>
              <w:t>9315794</w:t>
            </w:r>
          </w:p>
        </w:tc>
        <w:tc>
          <w:tcPr>
            <w:tcW w:w="1571" w:type="dxa"/>
            <w:tcBorders/>
            <w:vAlign w:val="center"/>
          </w:tcPr>
          <w:p>
            <w:pPr>
              <w:pStyle w:val="TableContents"/>
              <w:bidi w:val="0"/>
              <w:spacing w:before="0" w:after="283"/>
              <w:jc w:val="left"/>
              <w:rPr/>
            </w:pPr>
            <w:r>
              <w:rPr/>
              <w:t>09/18/2026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07/19/2016</w:t>
            </w:r>
          </w:p>
        </w:tc>
        <w:tc>
          <w:tcPr>
            <w:tcW w:w="1541" w:type="dxa"/>
            <w:tcBorders/>
            <w:vAlign w:val="center"/>
          </w:tcPr>
          <w:p>
            <w:pPr>
              <w:pStyle w:val="TableContents"/>
              <w:bidi w:val="0"/>
              <w:spacing w:before="0" w:after="283"/>
              <w:jc w:val="left"/>
              <w:rPr/>
            </w:pPr>
            <w:r>
              <w:rPr/>
              <w:t>Pre-IPO Investment</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26381</w:t>
            </w:r>
          </w:p>
        </w:tc>
        <w:tc>
          <w:tcPr>
            <w:tcW w:w="1036" w:type="dxa"/>
            <w:tcBorders/>
            <w:vAlign w:val="center"/>
          </w:tcPr>
          <w:p>
            <w:pPr>
              <w:pStyle w:val="TableContents"/>
              <w:bidi w:val="0"/>
              <w:spacing w:before="0" w:after="283"/>
              <w:jc w:val="left"/>
              <w:rPr/>
            </w:pPr>
            <w:r>
              <w:rPr/>
              <w:t>07/19/2016</w:t>
            </w:r>
          </w:p>
        </w:tc>
        <w:tc>
          <w:tcPr>
            <w:tcW w:w="1590" w:type="dxa"/>
            <w:tcBorders/>
            <w:vAlign w:val="center"/>
          </w:tcPr>
          <w:p>
            <w:pPr>
              <w:pStyle w:val="TableContents"/>
              <w:bidi w:val="0"/>
              <w:spacing w:before="0" w:after="283"/>
              <w:jc w:val="left"/>
              <w:rPr/>
            </w:pPr>
            <w:r>
              <w:rPr/>
              <w:t>Cash</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07/28/2017</w:t>
            </w:r>
          </w:p>
        </w:tc>
        <w:tc>
          <w:tcPr>
            <w:tcW w:w="1541" w:type="dxa"/>
            <w:tcBorders/>
            <w:vAlign w:val="center"/>
          </w:tcPr>
          <w:p>
            <w:pPr>
              <w:pStyle w:val="TableContents"/>
              <w:bidi w:val="0"/>
              <w:spacing w:before="0" w:after="283"/>
              <w:jc w:val="left"/>
              <w:rPr/>
            </w:pPr>
            <w:r>
              <w:rPr/>
              <w:t>Pre-IPO Investment</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3328</w:t>
            </w:r>
          </w:p>
        </w:tc>
        <w:tc>
          <w:tcPr>
            <w:tcW w:w="1036" w:type="dxa"/>
            <w:tcBorders/>
            <w:vAlign w:val="center"/>
          </w:tcPr>
          <w:p>
            <w:pPr>
              <w:pStyle w:val="TableContents"/>
              <w:bidi w:val="0"/>
              <w:spacing w:before="0" w:after="283"/>
              <w:jc w:val="left"/>
              <w:rPr/>
            </w:pPr>
            <w:r>
              <w:rPr/>
              <w:t>07/28/2017</w:t>
            </w:r>
          </w:p>
        </w:tc>
        <w:tc>
          <w:tcPr>
            <w:tcW w:w="1590" w:type="dxa"/>
            <w:tcBorders/>
            <w:vAlign w:val="center"/>
          </w:tcPr>
          <w:p>
            <w:pPr>
              <w:pStyle w:val="TableContents"/>
              <w:bidi w:val="0"/>
              <w:spacing w:before="0" w:after="283"/>
              <w:jc w:val="left"/>
              <w:rPr/>
            </w:pPr>
            <w:r>
              <w:rPr/>
              <w:t>Cash</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10/09/2020</w:t>
            </w:r>
          </w:p>
        </w:tc>
        <w:tc>
          <w:tcPr>
            <w:tcW w:w="1541" w:type="dxa"/>
            <w:tcBorders/>
            <w:vAlign w:val="center"/>
          </w:tcPr>
          <w:p>
            <w:pPr>
              <w:pStyle w:val="TableContents"/>
              <w:bidi w:val="0"/>
              <w:spacing w:before="0" w:after="283"/>
              <w:jc w:val="left"/>
              <w:rPr/>
            </w:pPr>
            <w:r>
              <w:rPr/>
              <w:t>Pre-IPO Secondary</w:t>
            </w:r>
          </w:p>
        </w:tc>
        <w:tc>
          <w:tcPr>
            <w:tcW w:w="1131" w:type="dxa"/>
            <w:tcBorders/>
            <w:vAlign w:val="center"/>
          </w:tcPr>
          <w:p>
            <w:pPr>
              <w:pStyle w:val="TableContents"/>
              <w:bidi w:val="0"/>
              <w:spacing w:before="0" w:after="283"/>
              <w:jc w:val="left"/>
              <w:rPr/>
            </w:pPr>
            <w:r>
              <w:rPr/>
              <w:t>Kathy Stafford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1250</w:t>
            </w:r>
          </w:p>
        </w:tc>
        <w:tc>
          <w:tcPr>
            <w:tcW w:w="1036" w:type="dxa"/>
            <w:tcBorders/>
            <w:vAlign w:val="center"/>
          </w:tcPr>
          <w:p>
            <w:pPr>
              <w:pStyle w:val="TableContents"/>
              <w:bidi w:val="0"/>
              <w:spacing w:before="0" w:after="283"/>
              <w:jc w:val="left"/>
              <w:rPr/>
            </w:pPr>
            <w:r>
              <w:rPr/>
              <w:t>10/09/2020</w:t>
            </w:r>
          </w:p>
        </w:tc>
        <w:tc>
          <w:tcPr>
            <w:tcW w:w="1590" w:type="dxa"/>
            <w:tcBorders/>
            <w:vAlign w:val="center"/>
          </w:tcPr>
          <w:p>
            <w:pPr>
              <w:pStyle w:val="TableContents"/>
              <w:bidi w:val="0"/>
              <w:spacing w:before="0" w:after="283"/>
              <w:jc w:val="left"/>
              <w:rPr/>
            </w:pPr>
            <w:r>
              <w:rPr/>
              <w:t>Cash</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11/12/2020</w:t>
            </w:r>
          </w:p>
        </w:tc>
        <w:tc>
          <w:tcPr>
            <w:tcW w:w="1541" w:type="dxa"/>
            <w:tcBorders/>
            <w:vAlign w:val="center"/>
          </w:tcPr>
          <w:p>
            <w:pPr>
              <w:pStyle w:val="TableContents"/>
              <w:bidi w:val="0"/>
              <w:spacing w:before="0" w:after="283"/>
              <w:jc w:val="left"/>
              <w:rPr/>
            </w:pPr>
            <w:r>
              <w:rPr/>
              <w:t>Pre-IPO Secondary</w:t>
            </w:r>
          </w:p>
        </w:tc>
        <w:tc>
          <w:tcPr>
            <w:tcW w:w="1131" w:type="dxa"/>
            <w:tcBorders/>
            <w:vAlign w:val="center"/>
          </w:tcPr>
          <w:p>
            <w:pPr>
              <w:pStyle w:val="TableContents"/>
              <w:bidi w:val="0"/>
              <w:spacing w:before="0" w:after="283"/>
              <w:jc w:val="left"/>
              <w:rPr/>
            </w:pPr>
            <w:r>
              <w:rPr/>
              <w:t>Peterson Partners</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7606</w:t>
            </w:r>
          </w:p>
        </w:tc>
        <w:tc>
          <w:tcPr>
            <w:tcW w:w="1036" w:type="dxa"/>
            <w:tcBorders/>
            <w:vAlign w:val="center"/>
          </w:tcPr>
          <w:p>
            <w:pPr>
              <w:pStyle w:val="TableContents"/>
              <w:bidi w:val="0"/>
              <w:spacing w:before="0" w:after="283"/>
              <w:jc w:val="left"/>
              <w:rPr/>
            </w:pPr>
            <w:r>
              <w:rPr/>
              <w:t>11/12/2020</w:t>
            </w:r>
          </w:p>
        </w:tc>
        <w:tc>
          <w:tcPr>
            <w:tcW w:w="1590" w:type="dxa"/>
            <w:tcBorders/>
            <w:vAlign w:val="center"/>
          </w:tcPr>
          <w:p>
            <w:pPr>
              <w:pStyle w:val="TableContents"/>
              <w:bidi w:val="0"/>
              <w:spacing w:before="0" w:after="283"/>
              <w:jc w:val="left"/>
              <w:rPr/>
            </w:pPr>
            <w:r>
              <w:rPr/>
              <w:t>Cash</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11/13/2020</w:t>
            </w:r>
          </w:p>
        </w:tc>
        <w:tc>
          <w:tcPr>
            <w:tcW w:w="1541" w:type="dxa"/>
            <w:tcBorders/>
            <w:vAlign w:val="center"/>
          </w:tcPr>
          <w:p>
            <w:pPr>
              <w:pStyle w:val="TableContents"/>
              <w:bidi w:val="0"/>
              <w:spacing w:before="0" w:after="283"/>
              <w:jc w:val="left"/>
              <w:rPr/>
            </w:pPr>
            <w:r>
              <w:rPr/>
              <w:t>Pre-IPO Secondary</w:t>
            </w:r>
          </w:p>
        </w:tc>
        <w:tc>
          <w:tcPr>
            <w:tcW w:w="1131" w:type="dxa"/>
            <w:tcBorders/>
            <w:vAlign w:val="center"/>
          </w:tcPr>
          <w:p>
            <w:pPr>
              <w:pStyle w:val="TableContents"/>
              <w:bidi w:val="0"/>
              <w:spacing w:before="0" w:after="283"/>
              <w:jc w:val="left"/>
              <w:rPr/>
            </w:pPr>
            <w:r>
              <w:rPr/>
              <w:t>Yosef Zev Group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4398</w:t>
            </w:r>
          </w:p>
        </w:tc>
        <w:tc>
          <w:tcPr>
            <w:tcW w:w="1036" w:type="dxa"/>
            <w:tcBorders/>
            <w:vAlign w:val="center"/>
          </w:tcPr>
          <w:p>
            <w:pPr>
              <w:pStyle w:val="TableContents"/>
              <w:bidi w:val="0"/>
              <w:spacing w:before="0" w:after="283"/>
              <w:jc w:val="left"/>
              <w:rPr/>
            </w:pPr>
            <w:r>
              <w:rPr/>
              <w:t>11/13/2020</w:t>
            </w:r>
          </w:p>
        </w:tc>
        <w:tc>
          <w:tcPr>
            <w:tcW w:w="1590" w:type="dxa"/>
            <w:tcBorders/>
            <w:vAlign w:val="center"/>
          </w:tcPr>
          <w:p>
            <w:pPr>
              <w:pStyle w:val="TableContents"/>
              <w:bidi w:val="0"/>
              <w:spacing w:before="0" w:after="283"/>
              <w:jc w:val="left"/>
              <w:rPr/>
            </w:pPr>
            <w:r>
              <w:rPr/>
              <w:t>Cash</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05/14/2021</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3214</w:t>
            </w:r>
          </w:p>
        </w:tc>
        <w:tc>
          <w:tcPr>
            <w:tcW w:w="1036" w:type="dxa"/>
            <w:tcBorders/>
            <w:vAlign w:val="center"/>
          </w:tcPr>
          <w:p>
            <w:pPr>
              <w:pStyle w:val="TableContents"/>
              <w:bidi w:val="0"/>
              <w:spacing w:before="0" w:after="283"/>
              <w:jc w:val="left"/>
              <w:rPr/>
            </w:pPr>
            <w:r>
              <w:rPr/>
              <w:t>05/14/2021</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11/01/2021</w:t>
            </w:r>
          </w:p>
        </w:tc>
        <w:tc>
          <w:tcPr>
            <w:tcW w:w="1541" w:type="dxa"/>
            <w:tcBorders/>
            <w:vAlign w:val="center"/>
          </w:tcPr>
          <w:p>
            <w:pPr>
              <w:pStyle w:val="TableContents"/>
              <w:bidi w:val="0"/>
              <w:spacing w:before="0" w:after="283"/>
              <w:jc w:val="left"/>
              <w:rPr/>
            </w:pPr>
            <w:r>
              <w:rPr/>
              <w:t>Post-IPO Direct Preferrred Purchase</w:t>
            </w:r>
          </w:p>
        </w:tc>
        <w:tc>
          <w:tcPr>
            <w:tcW w:w="1131" w:type="dxa"/>
            <w:tcBorders/>
            <w:vAlign w:val="center"/>
          </w:tcPr>
          <w:p>
            <w:pPr>
              <w:pStyle w:val="TableContents"/>
              <w:bidi w:val="0"/>
              <w:spacing w:before="0" w:after="283"/>
              <w:jc w:val="left"/>
              <w:rPr/>
            </w:pPr>
            <w:r>
              <w:rPr/>
              <w:t>Paula Sutter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2100</w:t>
            </w:r>
          </w:p>
        </w:tc>
        <w:tc>
          <w:tcPr>
            <w:tcW w:w="1036" w:type="dxa"/>
            <w:tcBorders/>
            <w:vAlign w:val="center"/>
          </w:tcPr>
          <w:p>
            <w:pPr>
              <w:pStyle w:val="TableContents"/>
              <w:bidi w:val="0"/>
              <w:spacing w:before="0" w:after="283"/>
              <w:jc w:val="left"/>
              <w:rPr/>
            </w:pPr>
            <w:r>
              <w:rPr/>
              <w:t>11/01/2021</w:t>
            </w:r>
          </w:p>
        </w:tc>
        <w:tc>
          <w:tcPr>
            <w:tcW w:w="159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3"/>
        <w:gridCol w:w="3018"/>
        <w:gridCol w:w="960"/>
        <w:gridCol w:w="1583"/>
        <w:gridCol w:w="1711"/>
      </w:tblGrid>
      <w:tr>
        <w:trPr/>
        <w:tc>
          <w:tcPr>
            <w:tcW w:w="2933" w:type="dxa"/>
            <w:tcBorders/>
            <w:vAlign w:val="center"/>
          </w:tcPr>
          <w:p>
            <w:pPr>
              <w:pStyle w:val="TableHeading"/>
              <w:suppressLineNumbers/>
              <w:bidi w:val="0"/>
              <w:spacing w:before="0" w:after="283"/>
              <w:jc w:val="center"/>
              <w:rPr/>
            </w:pPr>
            <w:r>
              <w:rPr/>
              <w:t>Name and Address of Seller</w:t>
            </w:r>
          </w:p>
        </w:tc>
        <w:tc>
          <w:tcPr>
            <w:tcW w:w="3018" w:type="dxa"/>
            <w:tcBorders/>
            <w:vAlign w:val="center"/>
          </w:tcPr>
          <w:p>
            <w:pPr>
              <w:pStyle w:val="TableHeading"/>
              <w:suppressLineNumbers/>
              <w:bidi w:val="0"/>
              <w:spacing w:before="0" w:after="283"/>
              <w:jc w:val="center"/>
              <w:rPr/>
            </w:pPr>
            <w:r>
              <w:rPr/>
              <w:t>Title of Securities Sold</w:t>
            </w:r>
          </w:p>
        </w:tc>
        <w:tc>
          <w:tcPr>
            <w:tcW w:w="960" w:type="dxa"/>
            <w:tcBorders/>
            <w:vAlign w:val="center"/>
          </w:tcPr>
          <w:p>
            <w:pPr>
              <w:pStyle w:val="TableHeading"/>
              <w:suppressLineNumbers/>
              <w:bidi w:val="0"/>
              <w:spacing w:before="0" w:after="283"/>
              <w:jc w:val="center"/>
              <w:rPr/>
            </w:pPr>
            <w:r>
              <w:rPr/>
              <w:t>Date of Sale</w:t>
            </w:r>
          </w:p>
        </w:tc>
        <w:tc>
          <w:tcPr>
            <w:tcW w:w="1583"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3" w:type="dxa"/>
            <w:tcBorders/>
            <w:vAlign w:val="center"/>
          </w:tcPr>
          <w:p>
            <w:pPr>
              <w:pStyle w:val="TableContents"/>
              <w:bidi w:val="0"/>
              <w:spacing w:before="0" w:after="283"/>
              <w:jc w:val="left"/>
              <w:rPr/>
            </w:pPr>
            <w:r>
              <w:rPr/>
              <w:t>Richard Wallace Boyce</w:t>
              <w:br/>
              <w:t>C/o Issuer</w:t>
              <w:br/>
              <w:t>425 Page Mill Road Suite 200</w:t>
              <w:br/>
              <w:t>Palo Alto   CA   94306</w:t>
            </w:r>
          </w:p>
        </w:tc>
        <w:tc>
          <w:tcPr>
            <w:tcW w:w="3018" w:type="dxa"/>
            <w:tcBorders/>
            <w:vAlign w:val="center"/>
          </w:tcPr>
          <w:p>
            <w:pPr>
              <w:pStyle w:val="TableContents"/>
              <w:bidi w:val="0"/>
              <w:spacing w:before="0" w:after="283"/>
              <w:jc w:val="left"/>
              <w:rPr/>
            </w:pPr>
            <w:r>
              <w:rPr/>
              <w:t>Class A Common Stock</w:t>
            </w:r>
          </w:p>
        </w:tc>
        <w:tc>
          <w:tcPr>
            <w:tcW w:w="960" w:type="dxa"/>
            <w:tcBorders/>
            <w:vAlign w:val="center"/>
          </w:tcPr>
          <w:p>
            <w:pPr>
              <w:pStyle w:val="TableContents"/>
              <w:bidi w:val="0"/>
              <w:spacing w:before="0" w:after="283"/>
              <w:jc w:val="left"/>
              <w:rPr/>
            </w:pPr>
            <w:r>
              <w:rPr/>
              <w:t>08/25/2026</w:t>
            </w:r>
          </w:p>
        </w:tc>
        <w:tc>
          <w:tcPr>
            <w:tcW w:w="1583" w:type="dxa"/>
            <w:tcBorders/>
            <w:vAlign w:val="center"/>
          </w:tcPr>
          <w:p>
            <w:pPr>
              <w:pStyle w:val="TableContents"/>
              <w:bidi w:val="0"/>
              <w:spacing w:before="0" w:after="283"/>
              <w:jc w:val="left"/>
              <w:rPr/>
            </w:pPr>
            <w:r>
              <w:rPr/>
              <w:t>9200</w:t>
            </w:r>
          </w:p>
        </w:tc>
        <w:tc>
          <w:tcPr>
            <w:tcW w:w="1711" w:type="dxa"/>
            <w:tcBorders/>
            <w:vAlign w:val="center"/>
          </w:tcPr>
          <w:p>
            <w:pPr>
              <w:pStyle w:val="TableContents"/>
              <w:bidi w:val="0"/>
              <w:spacing w:before="0" w:after="283"/>
              <w:jc w:val="left"/>
              <w:rPr/>
            </w:pPr>
            <w:r>
              <w:rPr/>
              <w:t>21873.33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84"/>
        <w:gridCol w:w="8421"/>
      </w:tblGrid>
      <w:tr>
        <w:trPr/>
        <w:tc>
          <w:tcPr>
            <w:tcW w:w="1784" w:type="dxa"/>
            <w:tcBorders/>
            <w:vAlign w:val="center"/>
          </w:tcPr>
          <w:p>
            <w:pPr>
              <w:pStyle w:val="TableContents"/>
              <w:bidi w:val="0"/>
              <w:spacing w:before="0" w:after="283"/>
              <w:jc w:val="left"/>
              <w:rPr/>
            </w:pPr>
            <w:r>
              <w:rPr/>
              <w:t>Remarks</w:t>
            </w:r>
          </w:p>
        </w:tc>
        <w:tc>
          <w:tcPr>
            <w:tcW w:w="8421" w:type="dxa"/>
            <w:tcBorders/>
            <w:vAlign w:val="center"/>
          </w:tcPr>
          <w:p>
            <w:pPr>
              <w:pStyle w:val="TableContents"/>
              <w:bidi w:val="0"/>
              <w:spacing w:before="0" w:after="0"/>
              <w:jc w:val="left"/>
              <w:rPr/>
            </w:pPr>
            <w:r>
              <w:rPr/>
              <w:t>The shares filed today will be sold by the Dick W Boyce &amp; Sandy W Boyce Revocable Trust Agreement DTD 12/30/1994</w:t>
            </w:r>
          </w:p>
        </w:tc>
      </w:tr>
      <w:tr>
        <w:trPr/>
        <w:tc>
          <w:tcPr>
            <w:tcW w:w="1784" w:type="dxa"/>
            <w:tcBorders/>
            <w:vAlign w:val="center"/>
          </w:tcPr>
          <w:p>
            <w:pPr>
              <w:pStyle w:val="TableContents"/>
              <w:bidi w:val="0"/>
              <w:spacing w:before="0" w:after="283"/>
              <w:jc w:val="left"/>
              <w:rPr/>
            </w:pPr>
            <w:r>
              <w:rPr/>
              <w:t>Date of Notice</w:t>
            </w:r>
          </w:p>
        </w:tc>
        <w:tc>
          <w:tcPr>
            <w:tcW w:w="8421"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4" w:type="dxa"/>
            <w:tcBorders/>
            <w:vAlign w:val="center"/>
          </w:tcPr>
          <w:p>
            <w:pPr>
              <w:pStyle w:val="TableContents"/>
              <w:bidi w:val="0"/>
              <w:spacing w:before="0" w:after="283"/>
              <w:jc w:val="left"/>
              <w:rPr/>
            </w:pPr>
            <w:r>
              <w:rPr/>
              <w:t>Signature</w:t>
            </w:r>
          </w:p>
        </w:tc>
        <w:tc>
          <w:tcPr>
            <w:tcW w:w="8421" w:type="dxa"/>
            <w:tcBorders/>
            <w:vAlign w:val="center"/>
          </w:tcPr>
          <w:p>
            <w:pPr>
              <w:pStyle w:val="TableContents"/>
              <w:bidi w:val="0"/>
              <w:spacing w:before="0" w:after="0"/>
              <w:jc w:val="left"/>
              <w:rPr/>
            </w:pPr>
            <w:r>
              <w:rPr/>
              <w:t>/s/ J.P. Morgan Securities LLC as agent and attorney-in-fact for Richard Wallace Boyce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3679</Characters>
  <CharactersWithSpaces>4298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