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Smartbird,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04" w:type="dxa"/>
        <w:tblCellMar>
          <w:top w:w="0" w:type="dxa"/>
          <w:left w:w="0" w:type="dxa"/>
          <w:bottom w:w="0" w:type="dxa"/>
          <w:right w:w="0" w:type="dxa"/>
        </w:tblCellMar>
      </w:tblPr>
      <w:tr>
        <w:trPr>
          <w:trHeight w:val="214"/>
        </w:trPr>
        <w:tc>
          <w:tcPr>
            <w:tcW w:w="3880" w:type="dxa"/>
            <w:vAlign w:val="bottom"/>
          </w:tcPr>
          <w:p>
            <w:pPr>
              <w:jc w:val="center"/>
              <w:ind w:right="20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001-40963</w:t>
            </w:r>
          </w:p>
        </w:tc>
        <w:tc>
          <w:tcPr>
            <w:tcW w:w="3580" w:type="dxa"/>
            <w:vAlign w:val="bottom"/>
          </w:tcPr>
          <w:p>
            <w:pPr>
              <w:jc w:val="center"/>
              <w:ind w:left="2081"/>
              <w:spacing w:after="0"/>
              <w:rPr>
                <w:sz w:val="20"/>
                <w:szCs w:val="20"/>
                <w:color w:val="auto"/>
              </w:rPr>
            </w:pPr>
            <w:r>
              <w:rPr>
                <w:rFonts w:ascii="Times New Roman" w:cs="Times New Roman" w:eastAsia="Times New Roman" w:hAnsi="Times New Roman"/>
                <w:sz w:val="18"/>
                <w:szCs w:val="18"/>
                <w:b w:val="1"/>
                <w:bCs w:val="1"/>
                <w:color w:val="auto"/>
                <w:w w:val="98"/>
              </w:rPr>
              <w:t>47-3999983</w:t>
            </w:r>
          </w:p>
        </w:tc>
      </w:tr>
      <w:tr>
        <w:trPr>
          <w:trHeight w:val="148"/>
        </w:trPr>
        <w:tc>
          <w:tcPr>
            <w:tcW w:w="3880" w:type="dxa"/>
            <w:vAlign w:val="bottom"/>
          </w:tcPr>
          <w:p>
            <w:pPr>
              <w:jc w:val="center"/>
              <w:ind w:right="20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5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580" w:type="dxa"/>
            <w:vAlign w:val="bottom"/>
          </w:tcPr>
          <w:p>
            <w:pPr>
              <w:jc w:val="center"/>
              <w:ind w:left="20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right="20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5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580" w:type="dxa"/>
            <w:vAlign w:val="bottom"/>
          </w:tcPr>
          <w:p>
            <w:pPr>
              <w:jc w:val="center"/>
              <w:ind w:left="20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880" w:type="dxa"/>
            <w:vAlign w:val="bottom"/>
          </w:tcPr>
          <w:p>
            <w:pPr>
              <w:jc w:val="center"/>
              <w:ind w:right="259"/>
              <w:spacing w:after="0"/>
              <w:rPr>
                <w:sz w:val="20"/>
                <w:szCs w:val="20"/>
                <w:color w:val="auto"/>
              </w:rPr>
            </w:pPr>
            <w:r>
              <w:rPr>
                <w:rFonts w:ascii="Times New Roman" w:cs="Times New Roman" w:eastAsia="Times New Roman" w:hAnsi="Times New Roman"/>
                <w:sz w:val="18"/>
                <w:szCs w:val="18"/>
                <w:b w:val="1"/>
                <w:bCs w:val="1"/>
                <w:color w:val="auto"/>
                <w:w w:val="99"/>
              </w:rPr>
              <w:t>530 Washington Street</w:t>
            </w:r>
          </w:p>
        </w:tc>
        <w:tc>
          <w:tcPr>
            <w:tcW w:w="15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7"/>
        </w:trPr>
        <w:tc>
          <w:tcPr>
            <w:tcW w:w="388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9"/>
              </w:rPr>
              <w:t>San Francisco, CA 94111</w:t>
            </w:r>
          </w:p>
        </w:tc>
        <w:tc>
          <w:tcPr>
            <w:tcW w:w="1500" w:type="dxa"/>
            <w:vAlign w:val="bottom"/>
          </w:tcPr>
          <w:p>
            <w:pPr>
              <w:spacing w:after="0"/>
              <w:rPr>
                <w:sz w:val="19"/>
                <w:szCs w:val="19"/>
                <w:color w:val="auto"/>
              </w:rPr>
            </w:pPr>
          </w:p>
        </w:tc>
        <w:tc>
          <w:tcPr>
            <w:tcW w:w="3580" w:type="dxa"/>
            <w:vAlign w:val="bottom"/>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rPr>
              <w:t>(628) 225-4848</w:t>
            </w:r>
          </w:p>
        </w:tc>
      </w:tr>
      <w:tr>
        <w:trPr>
          <w:trHeight w:val="190"/>
        </w:trPr>
        <w:tc>
          <w:tcPr>
            <w:tcW w:w="388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500" w:type="dxa"/>
            <w:vAlign w:val="bottom"/>
          </w:tcPr>
          <w:p>
            <w:pPr>
              <w:spacing w:after="0"/>
              <w:rPr>
                <w:sz w:val="16"/>
                <w:szCs w:val="16"/>
                <w:color w:val="auto"/>
              </w:rPr>
            </w:pPr>
          </w:p>
        </w:tc>
        <w:tc>
          <w:tcPr>
            <w:tcW w:w="35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BIRD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jc w:val="both"/>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1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As described in further detail below, on June 15, 2026, Allbirds, Inc. filed a Certificate of Amendment with the Secretary of State of the State of Delaware to change the name of the company to Smartbird, Inc. and to remove references to the company being a public benefit corporation. All references herein to Allbirds, Inc. or the Company, refer to Smartbird, Inc. (f/k/a Allbirds,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As previously disclosed, on April 14, 2026, the Company entered into a Securities Purchase Agreement (as subsequently amended, the “</w:t>
      </w:r>
      <w:r>
        <w:rPr>
          <w:rFonts w:ascii="Times New Roman" w:cs="Times New Roman" w:eastAsia="Times New Roman" w:hAnsi="Times New Roman"/>
          <w:sz w:val="18"/>
          <w:szCs w:val="18"/>
          <w:u w:val="single" w:color="auto"/>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pursuant to which the Company agreed to issue and sell senior secured convertible notes (each a “</w:t>
      </w:r>
      <w:r>
        <w:rPr>
          <w:rFonts w:ascii="Times New Roman" w:cs="Times New Roman" w:eastAsia="Times New Roman" w:hAnsi="Times New Roman"/>
          <w:sz w:val="18"/>
          <w:szCs w:val="18"/>
          <w:u w:val="single" w:color="auto"/>
          <w:color w:val="auto"/>
        </w:rPr>
        <w:t>Convertible Note</w:t>
      </w:r>
      <w:r>
        <w:rPr>
          <w:rFonts w:ascii="Times New Roman" w:cs="Times New Roman" w:eastAsia="Times New Roman" w:hAnsi="Times New Roman"/>
          <w:sz w:val="18"/>
          <w:szCs w:val="18"/>
          <w:color w:val="auto"/>
        </w:rPr>
        <w:t>”) convertible into shares of the Company’s Class A common stock. On June 15, 2026, the Company and the Investor party thereto entered into Amendment No. 1 to the Amended Purchase Agreement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to, among other changes, increase the amount of senior secured convertible notes that the Company may issue and sell by $50.0 million, for an aggregate original principal amount of up to $100.0 million, and solely with respect to the increased amount of Convertible Notes potentially issuable, from time to time, thereunder, increase the conversion price to $4.00.</w:t>
      </w:r>
    </w:p>
    <w:p>
      <w:pPr>
        <w:spacing w:after="0" w:line="187"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First Amendment and Convertible Note are not complete and are qualified in their entirety by reference to the full text of such agreements, copies of which are filed as Exhibit 10.1 and Exhibit 10.2 to this Current Report on Form 8-K and incorporated herein by reference. The representations, warranties and covenants contained in such agreements were made only for purposes of such agreements and as of a specific date, were solely for the benefit of the parties to such agreements and may be subject to limitations agreed upon by the contracting parties.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Executive Officer</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On June 12, 2026,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approved the appointment of Nadia Carlsten to serve as President, Chief Executive Officer, Secretary and a director of the Company, effective June 18,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Dr. Carlsten will serve as a Class I director and will stand for reelection at the 2028 annual meeting of stockholders.</w:t>
      </w:r>
    </w:p>
    <w:p>
      <w:pPr>
        <w:spacing w:after="0" w:line="176"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Dr. Carlsten brings significant experience in AI and advanced computing platforms, making her a valuable addition as the Company pursues opportunities in the AI infrastructure market. Most recently, Dr. Carlsten served as the Chief Executive Officer of DCAI from August 2024 to January 2026. While there, Dr. Carlsten built and scaled AI infrastructure platforms from concept to commercial deployment, including Denmark’s sovereign AI supercomputer. From May 2022 to August 2024, Dr. Carlsten served as the Vice President of Product at SandboxAQ, a Google spin-off developing AI models and platforms. Prior to that, Dr. Carlsten held leadership positions at Amazon Web Services, including as Head of Product for the AWS Center for Quantum Computing. From 2016 to 2019, Dr. Carlsten held various roles with the U.S. Department of Homeland Security, most recently serving as Director of Commercialization. Earlier in her career, Dr. Carlsten held positions supporting the commercialization and deployment of advanced technologies across both public- and private-sector organizations. Dr. Carlsten is a member of the World Economic Forum’s Global Future Council - Next Generation Computing and serves as Senior Investment Advisor to Ground State Ventures. Dr. Carlsten holds a B.S. in Chemistry and a B.A. in Physics from the University of Virginia and a Ph.D. in Engineering from the University of California, Berkeley.</w:t>
      </w:r>
    </w:p>
    <w:p>
      <w:pPr>
        <w:spacing w:after="0" w:line="194"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offer letter with Dr. Carlsten (the “</w:t>
      </w:r>
      <w:r>
        <w:rPr>
          <w:rFonts w:ascii="Times New Roman" w:cs="Times New Roman" w:eastAsia="Times New Roman" w:hAnsi="Times New Roman"/>
          <w:sz w:val="18"/>
          <w:szCs w:val="18"/>
          <w:u w:val="single" w:color="auto"/>
          <w:color w:val="auto"/>
        </w:rPr>
        <w:t>Offer Letter</w:t>
      </w:r>
      <w:r>
        <w:rPr>
          <w:rFonts w:ascii="Times New Roman" w:cs="Times New Roman" w:eastAsia="Times New Roman" w:hAnsi="Times New Roman"/>
          <w:sz w:val="18"/>
          <w:szCs w:val="18"/>
          <w:color w:val="auto"/>
        </w:rPr>
        <w:t>”), Dr. Carlsten will receive an annual base salary of $700,000 and will be eligible to receive an annual, performance-based bonus, payable in cash, with a target bonus opportunity of 100% of Dr. Carlsten’s annual base salary. Any actual annual performance bonus amount will be based on the Board’s good faith assessment of Dr. Carlsten’s and the Company’s attainment of performance goals established by the Board in its reasonable discretion.</w:t>
      </w:r>
    </w:p>
    <w:p>
      <w:pPr>
        <w:sectPr>
          <w:pgSz w:w="11900" w:h="16838" w:orient="portrait"/>
          <w:cols w:equalWidth="0" w:num="1">
            <w:col w:w="11020"/>
          </w:cols>
          <w:pgMar w:left="440" w:top="295" w:right="439" w:bottom="1440" w:gutter="0" w:footer="0" w:header="0"/>
        </w:sectPr>
      </w:pPr>
    </w:p>
    <w:bookmarkStart w:id="2" w:name="page3"/>
    <w:bookmarkEnd w:id="2"/>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As a material inducement to Dr. Carlsten entering into employment with the Company, the Management Compensation and Leadership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approved a restricted stock unit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award (the “</w:t>
      </w:r>
      <w:r>
        <w:rPr>
          <w:rFonts w:ascii="Times New Roman" w:cs="Times New Roman" w:eastAsia="Times New Roman" w:hAnsi="Times New Roman"/>
          <w:sz w:val="18"/>
          <w:szCs w:val="18"/>
          <w:u w:val="single" w:color="auto"/>
          <w:color w:val="auto"/>
        </w:rPr>
        <w:t>Carlsten RSU Award</w:t>
      </w:r>
      <w:r>
        <w:rPr>
          <w:rFonts w:ascii="Times New Roman" w:cs="Times New Roman" w:eastAsia="Times New Roman" w:hAnsi="Times New Roman"/>
          <w:sz w:val="18"/>
          <w:szCs w:val="18"/>
          <w:color w:val="auto"/>
        </w:rPr>
        <w:t>”) that is intended to qualify as an “inducement grant” in accordance with Nasdaq Listing Rule 5635(c)(4). The Carlsten RSU Award is comprised of 1,532,379 RSUs converting into an equal number of shares of the Company’s Class A common stock. 255,397 shares underlying the Carlsten RSU Award vest as of the initial date of grant and the remaining shares underlying the Carlsten RSU Award will vest in 16 equal quarterly installments on each vesting date thereafter, subject to Dr. Carlsten’s continuous service to the Company as of each such vesting date. The Company’s vesting dates are March 1st, June 1st, September 1st, and December 1st.</w:t>
      </w:r>
    </w:p>
    <w:p>
      <w:pPr>
        <w:spacing w:after="0" w:line="189"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Dr. Carlsten was not selected as an officer or appointed as a director pursuant to any arrangements or understandings with the Company or with any other person, and there are no related party transactions between the Company and Dr. Carlsten that would require disclosure under Item 404(a) of Regulation S-K.</w:t>
      </w:r>
    </w:p>
    <w:p>
      <w:pPr>
        <w:spacing w:after="0" w:line="17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Letter does not purport to be complete and is qualified in its entirety by reference to the full text of the Offer Letter, a copy of which is filed as Exhibit 10.3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Chairperson</w:t>
      </w:r>
    </w:p>
    <w:p>
      <w:pPr>
        <w:spacing w:after="0" w:line="121"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The Board has appointed Lily Yan Hughes as the Chairperson of the Board. Ms. Hughes, who was initially appointed to the Board on October 31, 2025, was chosen for this position because, among other things, she has extensive experience, knowledge and expertise in the technology industry, as well as corporate governance, capital markets and M&amp;A. She spent nearly 18 years at Ingram Micro, one of the world’s largest IT and mobile devices distributors. She also served on the executive team of Arrow Electronics, a Fortune 100 global provider of electronic components and enterprise computing solutions.</w:t>
      </w:r>
    </w:p>
    <w:p>
      <w:pPr>
        <w:spacing w:after="0" w:line="183"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 has approved an annual Chairperson retainer of $50,000, payable to Ms. Hughes in cash, which is in addition to the annual Board service retainer of $50,000, which is the amount that applies to all non-employee directors of the Company.</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Further, the Compensation Committee has approved the grant to Ms. Hughes of an award of 125,000 RSUs (the “</w:t>
      </w:r>
      <w:r>
        <w:rPr>
          <w:rFonts w:ascii="Times New Roman" w:cs="Times New Roman" w:eastAsia="Times New Roman" w:hAnsi="Times New Roman"/>
          <w:sz w:val="18"/>
          <w:szCs w:val="18"/>
          <w:u w:val="single" w:color="auto"/>
          <w:color w:val="auto"/>
        </w:rPr>
        <w:t>Hughes RSU Award</w:t>
      </w:r>
      <w:r>
        <w:rPr>
          <w:rFonts w:ascii="Times New Roman" w:cs="Times New Roman" w:eastAsia="Times New Roman" w:hAnsi="Times New Roman"/>
          <w:sz w:val="18"/>
          <w:szCs w:val="18"/>
          <w:color w:val="auto"/>
        </w:rPr>
        <w:t>”), pursuant to the Company’s 2021 Equity Incentive Plan and standard forms of award agreements thereunder. 1/12th of the shares underlying the Hughes RSU Award will vest on the three-month anniversary of the date of grant, and the remaining shares underlying the Hughes RSU Award will vest in 11 equal quarterly installments thereafter, subject to Ms. Hughes’s continuous service to the Company as of each such vesting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Chief Executive Officer</w:t>
      </w:r>
    </w:p>
    <w:p>
      <w:pPr>
        <w:spacing w:after="0" w:line="12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Joe Vernachio, the Company’s current President, Chief Executive Officer, and Secretary of the Company, has tendered his resignation as an officer and director, with his final date of service to be June 19, 2026. Mr. Vernachio informed the Company that his resignation from the Board is not a result of any disagreement with the Company on any matter relating to its operations, policies or practices. The Company thanks Mr. Vernachio for his valuable insights and contributions since joining the Company in 2021.</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Mr. Vernachio’s departure, the Compensation Committee has approved the acceleration of vesting of 50,306 outstanding RSUs and 21,251 outstanding stock options held by Mr. Vernachio. In addition, the Committee approved an extension of the post-termination exercise period for outstanding stock options held by Mr. Vernachio.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for Chief Financial Officer</w:t>
      </w:r>
    </w:p>
    <w:p>
      <w:pPr>
        <w:spacing w:after="0" w:line="121"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has approved, effective as of June 18, 2026, a revised compensation package for Ann Mitchell, the Company’s Chief Financial Officer. Ms. Mitchell will receive an annual base salary of $450,000 and will be eligible to receive an annual performance bonus with a target of 50% of Ms. Mitchell’s base salary. Any actual annual performance bonus amount will be based upon the Board’s good faith assessment of Ms. Mitchell’s and the Company’s attainment of goals established by the Board in its reasonable discretion.</w:t>
      </w:r>
    </w:p>
    <w:p>
      <w:pPr>
        <w:sectPr>
          <w:pgSz w:w="11900" w:h="16838" w:orient="portrait"/>
          <w:cols w:equalWidth="0" w:num="1">
            <w:col w:w="11020"/>
          </w:cols>
          <w:pgMar w:left="440" w:top="297" w:right="439" w:bottom="1440" w:gutter="0" w:footer="0" w:header="0"/>
        </w:sectPr>
      </w:pPr>
    </w:p>
    <w:bookmarkStart w:id="3" w:name="page4"/>
    <w:bookmarkEnd w:id="3"/>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Compensation Committee also approved the grant to Ms. Mitchell of an award of 766,190 RSUs (the “</w:t>
      </w:r>
      <w:r>
        <w:rPr>
          <w:rFonts w:ascii="Times New Roman" w:cs="Times New Roman" w:eastAsia="Times New Roman" w:hAnsi="Times New Roman"/>
          <w:sz w:val="18"/>
          <w:szCs w:val="18"/>
          <w:u w:val="single" w:color="auto"/>
          <w:color w:val="auto"/>
        </w:rPr>
        <w:t>Mitchell RSU Award</w:t>
      </w:r>
      <w:r>
        <w:rPr>
          <w:rFonts w:ascii="Times New Roman" w:cs="Times New Roman" w:eastAsia="Times New Roman" w:hAnsi="Times New Roman"/>
          <w:sz w:val="18"/>
          <w:szCs w:val="18"/>
          <w:color w:val="auto"/>
        </w:rPr>
        <w:t>”), pursuant to the Company’s 2021 Equity Incentive Plan and standard forms of award agreements thereunder. 1/12th of the shares underlying the Mitchell RSU Award will vest on the three-month anniversary of the date of grant, and the remaining shares underlying the Mitchell RSU Award will vest in 11 equal quarterly installments on each vesting date thereafter, subject to Ms. Mitchell’s continuous service to the Company as of each such vesting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Amendment</w:t>
      </w:r>
    </w:p>
    <w:p>
      <w:pPr>
        <w:spacing w:after="0" w:line="121"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On June 15, 2026, the Company filed a Certificate of Amendment (the “</w:t>
      </w:r>
      <w:r>
        <w:rPr>
          <w:rFonts w:ascii="Times New Roman" w:cs="Times New Roman" w:eastAsia="Times New Roman" w:hAnsi="Times New Roman"/>
          <w:sz w:val="18"/>
          <w:szCs w:val="18"/>
          <w:u w:val="single" w:color="auto"/>
          <w:color w:val="auto"/>
        </w:rPr>
        <w:t>Certificate of Amendment</w:t>
      </w:r>
      <w:r>
        <w:rPr>
          <w:rFonts w:ascii="Times New Roman" w:cs="Times New Roman" w:eastAsia="Times New Roman" w:hAnsi="Times New Roman"/>
          <w:sz w:val="18"/>
          <w:szCs w:val="18"/>
          <w:color w:val="auto"/>
        </w:rPr>
        <w:t>”) to its Ninth Amended and Restated Certificate of Incorporation with the Secretary of State of the State of Delaware to change the name of the Company to Smartbird, Inc. and to remove references to the Company being a public benefit corporation. The Certificate of Amendment became effective upon filing on June 15, 2026. The Certificate of Amendment filing was previously approved by the Company’s stockholders at the Special Meeting held on June 3, 2026.</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Amendment does not purport to be complete and is qualified in its entirety by reference to the full text of the Certificate of Amendment, a copy of which is filed as Exhibit 3.1 to this Current Report on Form 8-K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Bylaws</w:t>
      </w:r>
    </w:p>
    <w:p>
      <w:pPr>
        <w:spacing w:after="0" w:line="121"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On June 12, 2026, the Board adopted amendments to the amended and restated bylaws of the Company (the “</w:t>
      </w:r>
      <w:r>
        <w:rPr>
          <w:rFonts w:ascii="Times New Roman" w:cs="Times New Roman" w:eastAsia="Times New Roman" w:hAnsi="Times New Roman"/>
          <w:sz w:val="18"/>
          <w:szCs w:val="18"/>
          <w:u w:val="single" w:color="auto"/>
          <w:color w:val="auto"/>
        </w:rPr>
        <w:t>Amended and Restated Bylaws</w:t>
      </w:r>
      <w:r>
        <w:rPr>
          <w:rFonts w:ascii="Times New Roman" w:cs="Times New Roman" w:eastAsia="Times New Roman" w:hAnsi="Times New Roman"/>
          <w:sz w:val="18"/>
          <w:szCs w:val="18"/>
          <w:color w:val="auto"/>
        </w:rPr>
        <w:t>”), which became effective immediately. Among other things, the amendments:</w:t>
      </w:r>
    </w:p>
    <w:p>
      <w:pPr>
        <w:spacing w:after="0" w:line="67" w:lineRule="exact"/>
        <w:rPr>
          <w:sz w:val="20"/>
          <w:szCs w:val="20"/>
          <w:color w:val="auto"/>
        </w:rPr>
      </w:pPr>
    </w:p>
    <w:p>
      <w:pPr>
        <w:ind w:left="1420" w:hanging="331"/>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Company name to Smartbird, Inc.;</w:t>
      </w:r>
    </w:p>
    <w:p>
      <w:pPr>
        <w:spacing w:after="0" w:line="130" w:lineRule="exact"/>
        <w:rPr>
          <w:rFonts w:ascii="Times New Roman" w:cs="Times New Roman" w:eastAsia="Times New Roman" w:hAnsi="Times New Roman"/>
          <w:sz w:val="18"/>
          <w:szCs w:val="18"/>
          <w:color w:val="auto"/>
        </w:rPr>
      </w:pPr>
    </w:p>
    <w:p>
      <w:pPr>
        <w:ind w:left="1420" w:right="20" w:hanging="331"/>
        <w:spacing w:after="0" w:line="282"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all references to the Company being a public benefit corporation, specifically in Article VII, Section 36 and Article XV, Section 50; and</w:t>
      </w:r>
    </w:p>
    <w:p>
      <w:pPr>
        <w:spacing w:after="0" w:line="67"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quorum requirement for meetings of stockholders from a majority to one-third of the voting power of the outstanding shares of stock entitled to vote in Article III, Section 8.</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and Restated Bylaws does not purport to be complete and is qualified in its entirety by reference to the full text of the Amended and Restated Bylaws, a copy of which is filed as Exhibit 3.2 to this Current Report on Form 8-K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On June 17, 2026, the Company issued a press release regarding the matters described in Items 1.01 and 5.02 above, including the RSU Award granted to Dr. Carlsten. The RSU Award was not granted under the Company’s 2021 Equity Incentive Plan or any other stockholder-approved equity compensation plan and is intended to qualify as an “inducement grant” within the meaning of Nasdaq Listing Rule 5635(c)(4). A copy of the press release is attached hereto as Exhibit 99.1.</w:t>
      </w:r>
    </w:p>
    <w:p>
      <w:pPr>
        <w:spacing w:after="0" w:line="180"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and Exhibit 99.1 attached hereto, is being furnished and will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such section. The information in this Item 7.01 and Exhibit 99.1 attached hereto, may not be incorporated by reference into any filing under the Securities Act of 1933, as amended, or the Exchange Act, except as expressly set forth by specific reference in such a filing to this Current Report.</w:t>
      </w:r>
    </w:p>
    <w:p>
      <w:pPr>
        <w:sectPr>
          <w:pgSz w:w="11900" w:h="16838" w:orient="portrait"/>
          <w:cols w:equalWidth="0" w:num="1">
            <w:col w:w="11020"/>
          </w:cols>
          <w:pgMar w:left="440" w:top="29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60" w:type="dxa"/>
            <w:vAlign w:val="bottom"/>
            <w:gridSpan w:val="3"/>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Certificate of Amendment to Ninth Amended and Restated Certificate of Incorporation of the Company</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4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the Company</w:t>
            </w:r>
          </w:p>
        </w:tc>
        <w:tc>
          <w:tcPr>
            <w:tcW w:w="4000" w:type="dxa"/>
            <w:vAlign w:val="bottom"/>
            <w:tcBorders>
              <w:top w:val="single" w:sz="8" w:color="0000EE"/>
            </w:tcBorders>
            <w:gridSpan w:val="2"/>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Amendment No. 1 to Amended and Restated Securities Purchase Agreement, dated as of June 15, 2026, by and between the Company and</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the Investor party thereto</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Form of Convertible Note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Offer Letter between the Company and Nadia Carlsten, dated June 12, 2026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Press Release, dated June 17, 2026</w:t>
            </w:r>
          </w:p>
        </w:tc>
        <w:tc>
          <w:tcPr>
            <w:tcW w:w="4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In some cases, you can identify forward-looking statements by terms such as “aim,” “anticipate,” “approach,” “believe,” “contemplate,” “could,” “estimate,” “expect,” “goal,” “intend,” “look,” “may,” “mission,” “plan,” “possible,” “potential,” “predict,” “project,” “pursue,” “should,” “target,” “will,” “would,” or the negative thereof and similar words and expressions. Forward-looking statements are based on management’s current expectations, beliefs and assumptions and on information currently available to us. Such statements are subject to a number of known and unknown risks, uncertainties and assumptions, and actual results may differ materially from those expressed or implied in the forward-looking statements due to known and unknown risks, uncertainties and other important factors, including, without limitation, the risks referred to under the section “Risk Factors” in the Company’s Annual Report on Form 10-K for the annual period ended December 31, 2025, as any such factors may be updated from time to time in our other filings with the SEC, which are accessible on the SEC’s website at www.sec.gov and the investor relations section of the Allbirds website at www.ir.allbirds.com. All forward-looking statements speak only as of the date of this Current Report on Form 8-K and, except as required by applicable law, we have no obligation to update or revise any forward-looking statements contained herein, whether as a result of any new information, future events, changed circumstances or otherwise.</w:t>
      </w:r>
    </w:p>
    <w:p>
      <w:pPr>
        <w:sectPr>
          <w:pgSz w:w="11900" w:h="16838" w:orient="portrait"/>
          <w:cols w:equalWidth="0" w:num="1">
            <w:col w:w="11020"/>
          </w:cols>
          <w:pgMar w:left="440" w:top="293"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Smartbird,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17, 2026</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Joseph Vernachio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00"/>
          </w:cols>
          <w:pgMar w:left="440" w:top="293" w:right="4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NINTH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PUBLIC BENEFIT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Allbirds,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hereby certifies that:</w:t>
      </w:r>
    </w:p>
    <w:p>
      <w:pPr>
        <w:spacing w:after="0" w:line="95" w:lineRule="exact"/>
        <w:rPr>
          <w:sz w:val="20"/>
          <w:szCs w:val="20"/>
          <w:color w:val="auto"/>
        </w:rPr>
      </w:pPr>
    </w:p>
    <w:p>
      <w:pPr>
        <w:ind w:right="100" w:firstLine="436"/>
        <w:spacing w:after="0" w:line="28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to the Ninth Amended and Restated Certificate of Incorporation (this “</w:t>
      </w:r>
      <w:r>
        <w:rPr>
          <w:rFonts w:ascii="Times New Roman" w:cs="Times New Roman" w:eastAsia="Times New Roman" w:hAnsi="Times New Roman"/>
          <w:sz w:val="18"/>
          <w:szCs w:val="18"/>
          <w:b w:val="1"/>
          <w:bCs w:val="1"/>
          <w:i w:val="1"/>
          <w:iCs w:val="1"/>
          <w:color w:val="auto"/>
        </w:rPr>
        <w:t>Certificate of Amendment</w:t>
      </w:r>
      <w:r>
        <w:rPr>
          <w:rFonts w:ascii="Times New Roman" w:cs="Times New Roman" w:eastAsia="Times New Roman" w:hAnsi="Times New Roman"/>
          <w:sz w:val="18"/>
          <w:szCs w:val="18"/>
          <w:color w:val="auto"/>
        </w:rPr>
        <w:t>”) amends the provisions of the Ninth Amended and Restated Certificate of Incorporation of the 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right="260"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has been approved and duly adopted by the Corporation’s Board of Directors and stockholders in accordance with the provisions of Section 242 of the DGCL.</w:t>
      </w:r>
    </w:p>
    <w:p>
      <w:pPr>
        <w:spacing w:after="0" w:line="53" w:lineRule="exact"/>
        <w:rPr>
          <w:rFonts w:ascii="Times New Roman" w:cs="Times New Roman" w:eastAsia="Times New Roman" w:hAnsi="Times New Roman"/>
          <w:sz w:val="18"/>
          <w:szCs w:val="18"/>
          <w:color w:val="auto"/>
        </w:rPr>
      </w:pPr>
    </w:p>
    <w:p>
      <w:pPr>
        <w:ind w:right="220"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this Certificate of Amendment becoming effective, the heading of the Certificate of Incorporation is hereby amended and restated in its entirety to read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SMARTBIRD, INC.</w:t>
      </w:r>
    </w:p>
    <w:p>
      <w:pPr>
        <w:spacing w:after="0" w:line="229" w:lineRule="exact"/>
        <w:rPr>
          <w:sz w:val="20"/>
          <w:szCs w:val="20"/>
          <w:color w:val="auto"/>
        </w:rPr>
      </w:pPr>
    </w:p>
    <w:p>
      <w:pPr>
        <w:ind w:right="240" w:firstLine="436"/>
        <w:spacing w:after="0" w:line="28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this Certificate of Amendment becoming effective, Section Three, Article III of the Certificate of Incorporation is hereby amended and restated in its entirety to read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is to engage in any lawful act or activity for which corporations may be organized under the DGCL.</w:t>
      </w:r>
    </w:p>
    <w:p>
      <w:pPr>
        <w:spacing w:after="0" w:line="54" w:lineRule="exact"/>
        <w:rPr>
          <w:sz w:val="20"/>
          <w:szCs w:val="20"/>
          <w:color w:val="auto"/>
        </w:rPr>
      </w:pPr>
    </w:p>
    <w:p>
      <w:pPr>
        <w:ind w:right="240" w:firstLine="436"/>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this Certificate of Amendment becoming effective, Section Three, Article VII, Provision B of the Certificate of Incorporation is hereby amended and restated in its entirety to read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9" w:lineRule="exact"/>
        <w:rPr>
          <w:sz w:val="20"/>
          <w:szCs w:val="20"/>
          <w:color w:val="auto"/>
        </w:rPr>
      </w:pPr>
    </w:p>
    <w:p>
      <w:pPr>
        <w:ind w:left="640" w:hanging="204"/>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[Reserved].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 This Certificate of Amendment shall become effective upon filing with the Secretary of State of Delaware.</w:t>
      </w:r>
    </w:p>
    <w:p>
      <w:pPr>
        <w:sectPr>
          <w:pgSz w:w="11900" w:h="16838" w:orient="portrait"/>
          <w:cols w:equalWidth="0" w:num="1">
            <w:col w:w="11020"/>
          </w:cols>
          <w:pgMar w:left="440" w:top="117" w:right="439" w:bottom="1440" w:gutter="0" w:footer="0" w:header="0"/>
        </w:sectPr>
      </w:pPr>
    </w:p>
    <w:bookmarkStart w:id="7" w:name="page8"/>
    <w:bookmarkEnd w:id="7"/>
    <w:p>
      <w:pPr>
        <w:jc w:val="center"/>
        <w:ind w:right="-2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Certificate of Amendment to the Ninth Amended and Restated Certificate of Incorporation has been signed by a duly authorized officer of the Company on June 15, 2026.</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Joe Vernachio</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Chief Executive Officer and Secretary</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60"/>
          </w:cols>
          <w:pgMar w:left="440" w:top="270" w:right="6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SMARTBIRD, INC.</w:t>
      </w:r>
    </w:p>
    <w:p>
      <w:pPr>
        <w:spacing w:after="0" w:line="2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EFFECTIVE: JUNE 12, 2026</w:t>
      </w:r>
    </w:p>
    <w:p>
      <w:pPr>
        <w:sectPr>
          <w:pgSz w:w="11900" w:h="16838" w:orient="portrait"/>
          <w:cols w:equalWidth="0" w:num="1">
            <w:col w:w="10020"/>
          </w:cols>
          <w:pgMar w:left="1440" w:top="117" w:right="4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BYLAWS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SMARTBIRD,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 Registered Office. </w:t>
      </w:r>
      <w:r>
        <w:rPr>
          <w:rFonts w:ascii="Times New Roman" w:cs="Times New Roman" w:eastAsia="Times New Roman" w:hAnsi="Times New Roman"/>
          <w:sz w:val="18"/>
          <w:szCs w:val="18"/>
          <w:color w:val="auto"/>
        </w:rPr>
        <w:t>The registered office of the corporation in the State of Delaware shall be as set forth in the Amended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Restated Certificate of Incorporation of the corporation, as the same may be amended or restated from time to time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Other Offices. </w:t>
      </w:r>
      <w:r>
        <w:rPr>
          <w:rFonts w:ascii="Times New Roman" w:cs="Times New Roman" w:eastAsia="Times New Roman" w:hAnsi="Times New Roman"/>
          <w:sz w:val="18"/>
          <w:szCs w:val="18"/>
          <w:color w:val="auto"/>
        </w:rPr>
        <w:t>The corporation may also have and maintain an office or principal place of business at such place as may be fixed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and may also have offices at such other places, both within and without the State of Delaware as the Board of Directors may from time to time determine or the business of the corporation may require.</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Corporate Seal. </w:t>
      </w:r>
      <w:r>
        <w:rPr>
          <w:rFonts w:ascii="Times New Roman" w:cs="Times New Roman" w:eastAsia="Times New Roman" w:hAnsi="Times New Roman"/>
          <w:sz w:val="18"/>
          <w:szCs w:val="18"/>
          <w:color w:val="auto"/>
        </w:rPr>
        <w:t>The Board of Directors may adopt a corporate seal. If adopted, the corporate seal shall consist of a die bearing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corporation and the inscription, “</w:t>
      </w:r>
      <w:r>
        <w:rPr>
          <w:rFonts w:ascii="Times New Roman" w:cs="Times New Roman" w:eastAsia="Times New Roman" w:hAnsi="Times New Roman"/>
          <w:sz w:val="18"/>
          <w:szCs w:val="18"/>
          <w:b w:val="1"/>
          <w:bCs w:val="1"/>
          <w:i w:val="1"/>
          <w:iCs w:val="1"/>
          <w:color w:val="auto"/>
        </w:rPr>
        <w:t>Corporate Seal-Delaware</w:t>
      </w:r>
      <w:r>
        <w:rPr>
          <w:rFonts w:ascii="Times New Roman" w:cs="Times New Roman" w:eastAsia="Times New Roman" w:hAnsi="Times New Roman"/>
          <w:sz w:val="18"/>
          <w:szCs w:val="18"/>
          <w:color w:val="auto"/>
        </w:rPr>
        <w:t>.” Said seal may be used by causing it or a facsimile thereof to be impressed or affixed or reproduced or otherwise.</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 Place of Meetings. </w:t>
      </w:r>
      <w:r>
        <w:rPr>
          <w:rFonts w:ascii="Times New Roman" w:cs="Times New Roman" w:eastAsia="Times New Roman" w:hAnsi="Times New Roman"/>
          <w:sz w:val="18"/>
          <w:szCs w:val="18"/>
          <w:color w:val="auto"/>
        </w:rPr>
        <w:t>Meetings of the stockholders of the corporation may be held at such place, if any, either within or without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Section 14 below.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 Annual Meetings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firstLine="987"/>
        <w:spacing w:after="0" w:line="255" w:lineRule="auto"/>
        <w:tabs>
          <w:tab w:leader="none" w:pos="124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The corporation may postpone, reschedule, or cancel any annual meeting of stockholders previously scheduled by the Board of Directors at any time, before or after notice of such meeting has been sent to the stockholders. Nominations of persons for election to the Board of Directors and proposals of other business to be considered by the stockholders may be made at an annual meeting of stockholders: (i) pursuant to the corporation’s notice of meeting (or any supplement thereto) of stockholders; (ii) by or at the direction of the Board of Directors or a duly authorized committee thereof; or (iii) by any stockholder of the corporation who was a stockholder of record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10" w:name="page11"/>
    <w:bookmarkEnd w:id="10"/>
    <w:p>
      <w:pPr>
        <w:jc w:val="both"/>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time of giving the stockholder’s notice provided for in Section 5(b) below and who is a stockholder of record at the time of the annual meeting of stockholders,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before an annual meeting of stockholders.</w:t>
      </w:r>
    </w:p>
    <w:p>
      <w:pPr>
        <w:spacing w:after="0" w:line="75" w:lineRule="exact"/>
        <w:rPr>
          <w:sz w:val="20"/>
          <w:szCs w:val="20"/>
          <w:color w:val="auto"/>
        </w:rPr>
      </w:pPr>
    </w:p>
    <w:p>
      <w:pPr>
        <w:jc w:val="both"/>
        <w:ind w:left="4" w:right="220" w:firstLine="987"/>
        <w:spacing w:after="0" w:line="261" w:lineRule="auto"/>
        <w:tabs>
          <w:tab w:leader="none" w:pos="12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 annual meeting of the stockholders, only such business shall be conducted as is a proper matter for stockholder action under Delaware law, the Certificate of Incorporation and these Amended and Restated Bylaws of the corporation, as the same may be amended 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and only such nominations shall be made and such business shall be conducted as shall have been properly brought before the meeting in accordance with the procedures below.</w:t>
      </w:r>
    </w:p>
    <w:p>
      <w:pPr>
        <w:spacing w:after="0" w:line="71" w:lineRule="exact"/>
        <w:rPr>
          <w:rFonts w:ascii="Times New Roman" w:cs="Times New Roman" w:eastAsia="Times New Roman" w:hAnsi="Times New Roman"/>
          <w:sz w:val="18"/>
          <w:szCs w:val="18"/>
          <w:b w:val="1"/>
          <w:bCs w:val="1"/>
          <w:color w:val="auto"/>
        </w:rPr>
      </w:pPr>
    </w:p>
    <w:p>
      <w:pPr>
        <w:ind w:left="4" w:right="60" w:firstLine="1428"/>
        <w:spacing w:after="0" w:line="268" w:lineRule="auto"/>
        <w:tabs>
          <w:tab w:leader="none" w:pos="1651" w:val="left"/>
        </w:tabs>
        <w:numPr>
          <w:ilvl w:val="2"/>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the information contained in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beneficially and of record by such nominee and a list of any pledge of or encumbrances on such shares, (4) the date or dates on which such shares were acquired and the investment intent of such acquisition,</w:t>
      </w:r>
    </w:p>
    <w:p>
      <w:pPr>
        <w:spacing w:after="0" w:line="2" w:lineRule="exact"/>
        <w:rPr>
          <w:rFonts w:ascii="Times New Roman" w:cs="Times New Roman" w:eastAsia="Times New Roman" w:hAnsi="Times New Roman"/>
          <w:sz w:val="17"/>
          <w:szCs w:val="17"/>
          <w:b w:val="1"/>
          <w:bCs w:val="1"/>
          <w:color w:val="auto"/>
        </w:rPr>
      </w:pPr>
    </w:p>
    <w:p>
      <w:pPr>
        <w:ind w:left="4" w:hanging="4"/>
        <w:spacing w:after="0" w:line="251"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questionnaire, representation and agreement required by Section 5(e), completed and signed by such nominee, and (6) all other information concerning such nominee as would be required to be disclosed or provided to the corporation in a proxy statement soliciting proxies for the election of such nominee as a director in an election contest (even if an election contest is not involved and whether or not proxies are being or will be solicited), or that is otherwise required to be disclosed or provided to the corporation pursuant to Section 14 of the 1934 Act and the rules and regulations promulgated thereunder (including such person’s written consent to being named in a proxy statement and associated proxy card as a nominee and to serving as a director if elected); and (B) all of the information required by Section 5(b)(iv). The corporation may require any proposed nominee to furnish such other information as it may reasonably require to determine the eligibility of such proposed nominee to serve as a director of the corporation and to determine the independence (as such term is used in any applicable stock exchange listing requirements or applicable law) of such proposed nominee or to determine the eligibility of such proposed nominee to serve on any committee or sub-committee of the Board of Directors under any applicable stock exchange listing requirements or applicable law, or that the Board of Directors determines could be material to a reasonable stockholder’s understanding of the background, qualifications, experience, independence, or lack thereof, of such proposed nominee. The number of nominees a stockholder may nominate for election at the annual meeting on its own behalf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this Section 5(b)(i), in the case of an annual meeting, or Section 6, in the case of a special meeting (and such notice contains all of the information, representations, questionnaires and certifications with respect to such substitute nominee(s) that are required by the Bylaws with respect to nominees for director).</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11" w:name="page12"/>
    <w:bookmarkEnd w:id="11"/>
    <w:p>
      <w:pPr>
        <w:ind w:firstLine="1428"/>
        <w:spacing w:after="0" w:line="253" w:lineRule="auto"/>
        <w:tabs>
          <w:tab w:leader="none" w:pos="169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the information contained in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all of the information required by Section 5(b)(iv).</w:t>
      </w:r>
    </w:p>
    <w:p>
      <w:pPr>
        <w:spacing w:after="0" w:line="86" w:lineRule="exact"/>
        <w:rPr>
          <w:rFonts w:ascii="Times New Roman" w:cs="Times New Roman" w:eastAsia="Times New Roman" w:hAnsi="Times New Roman"/>
          <w:sz w:val="18"/>
          <w:szCs w:val="18"/>
          <w:b w:val="1"/>
          <w:bCs w:val="1"/>
          <w:color w:val="auto"/>
        </w:rPr>
      </w:pPr>
    </w:p>
    <w:p>
      <w:pPr>
        <w:ind w:firstLine="1428"/>
        <w:spacing w:after="0" w:line="253" w:lineRule="auto"/>
        <w:tabs>
          <w:tab w:leader="none" w:pos="174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be timely, the written notice required by Section 5(b)(i) or 5(b)(ii) must be received by the Secretary at the principal executive offices of the corporation not later than the close of business on the 90th day, nor earlier than the close of business on the 120th day, prior to the first anniversary of the preceding year’s annual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subject to the last sentence of this Section 5(b)(iii), in the event that the date of the annual meeting is advanced more than 30 days prior to or delayed by more than 70 days after the anniversary of the preceding year’s annual meeting, or if the corporation did not hold an annual meeting in the preceding year, notice by the stockholder to be timely must be so received not earlier than the close of business on the 120th day prior to such annual meeting and not later than the close of business on the later of the 90th day prior to such annual meeting or, if later than the 90th day prior to such annual meeting, the tenth day following the day on which public announcement of the date of such meeting is first made by the corporation. In no event shall an adjournment or postponement (or the public announcement thereof) of an annual meeting for which notice has been given, or for which a public announcement of the date of the meeting has been made by the corporation, commence a new time period (or extend any time period) for the giving of a stockholder’s notice as described above.</w:t>
      </w:r>
    </w:p>
    <w:p>
      <w:pPr>
        <w:spacing w:after="0" w:line="86" w:lineRule="exact"/>
        <w:rPr>
          <w:rFonts w:ascii="Times New Roman" w:cs="Times New Roman" w:eastAsia="Times New Roman" w:hAnsi="Times New Roman"/>
          <w:sz w:val="18"/>
          <w:szCs w:val="18"/>
          <w:b w:val="1"/>
          <w:bCs w:val="1"/>
          <w:color w:val="auto"/>
        </w:rPr>
      </w:pPr>
    </w:p>
    <w:p>
      <w:pPr>
        <w:ind w:firstLine="1428"/>
        <w:spacing w:after="0" w:line="252" w:lineRule="auto"/>
        <w:tabs>
          <w:tab w:leader="none" w:pos="173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written notice required by Sections 5(b)(i) or 5(b)(ii) shall also set forth, as of the date of the notice and as to the stockholder giving the notice, the beneficial owner, if any, on whose behalf the nomination or proposal is made and any affiliate who controls either of the foregoing stockholder or beneficial owner, directly or indirectly (each, a “</w:t>
      </w:r>
      <w:r>
        <w:rPr>
          <w:rFonts w:ascii="Times New Roman" w:cs="Times New Roman" w:eastAsia="Times New Roman" w:hAnsi="Times New Roman"/>
          <w:sz w:val="18"/>
          <w:szCs w:val="18"/>
          <w:b w:val="1"/>
          <w:bCs w:val="1"/>
          <w:i w:val="1"/>
          <w:iCs w:val="1"/>
          <w:color w:val="auto"/>
        </w:rPr>
        <w:t>Proponent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Proponents</w:t>
      </w:r>
      <w:r>
        <w:rPr>
          <w:rFonts w:ascii="Times New Roman" w:cs="Times New Roman" w:eastAsia="Times New Roman" w:hAnsi="Times New Roman"/>
          <w:sz w:val="18"/>
          <w:szCs w:val="18"/>
          <w:color w:val="auto"/>
        </w:rPr>
        <w:t>”): (A) the name and address of each Proponent who is a record stockholder, as they appear on the corporation’s books, and the name and address of each other Proponent; (B) the class or series and number of shares of the capital stock of the corporation that are, directly or indirectly, owned of record or beneficially (within the meaning of Rule 13d-3 under the 1934 Act) by each Proponent (provided, that for purposes of this Section 5(b)(iv), such Proponent shall in all events be deemed to beneficially own all shares of any class or series of capital stock of the corporation as to which such Proponent or any of its affiliates or associates has a right to acquire beneficial ownership at any time in the future); (C) 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the nominee (if applicable), and/or any other person (including their names), including, without limitation, any agreements, arrangements or understandings required to be disclosed pursuant to Item 5 or Item 6 of Schedule 13D under the 1934 Act, regardless of whether the requirement to file a Schedule 13D is applicable; (D) a representation that the stockholder is a holder of record of shares of the corporation at the time of giving notice, that such stockholder will be entitled to vote at the meeting and that such stockholder (or a qualified representative thereof) intends to appear at the meeting to nominate the person or persons specified in the notice (with respect to a notice under Section 5(b)(i)) or to propose the business that is specified in the notice (with respect to a notice under Section 5(b)(ii)); (E) a representation whether any Proponent or any other participant (as defined in Item 4 of Schedule 14A under the 1934 Act) will engage in a solicitation with respect to such nomination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 w:name="page13"/>
    <w:bookmarkEnd w:id="1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proposal and, if so, the name of each participant in such solicitation and the amount of the cost of solicitation that has been and will be borne, directly or indirectly, by each participant in such solicitation and a representation as to whether the Proponents intend or are part of a group that intends (x) to deliver, or make available, a proxy statement and/or form of proxy to holders of at least the percentage of the corporation’s voting shares required to approve or adopt the proposal or elect the nominee, (y) to otherwise solicit proxies or votes from stockholders in support of such proposal or nomination, and/or (z) to solicit proxies in support of any proposed nominee in accordance with Rule 14a-19 promulgated under the 1934 Act; (F) to the extent known by any Proponent, the name and address of any other stockholder supporting the proposal on the date of such stockholder’s notice; (G) a description of all Derivative Transactions (as defined below) by each Proponent during the previous 12-month period, including the date of the transactions and the class, series and number of securities involved in, and the material economic or voting terms of, such Derivative Transactions; (H) a certification regarding whether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 (I) any other information relating to each Proponent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 promulgated thereunder.</w:t>
      </w:r>
    </w:p>
    <w:p>
      <w:pPr>
        <w:spacing w:after="0" w:line="79" w:lineRule="exact"/>
        <w:rPr>
          <w:sz w:val="20"/>
          <w:szCs w:val="20"/>
          <w:color w:val="auto"/>
        </w:rPr>
      </w:pPr>
    </w:p>
    <w:p>
      <w:pPr>
        <w:ind w:right="60" w:firstLine="987"/>
        <w:spacing w:after="0" w:line="253" w:lineRule="auto"/>
        <w:tabs>
          <w:tab w:leader="none" w:pos="123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stockholder providing the written notice required by Section 5(b)(i) or 5(b)(ii) shall update and supplement such notice in writing, if necessary, so that the information (other than the representations required by Section 5(b)(iv)(E))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provided, that no such update or supplement shall cure or affect the accuracy (or inaccuracy) of any representations made by any Proponent, any of its affiliates or associates, or a nominee or the validity (or invalidity) of any nomination or proposal that failed to comply with this Section 5 or is rendered invalid as a result of any inaccuracy therein. In the case of an update and supplement pursuant to clause (i) of this Section 5(c), such update and supplement shall be received by the Secretary at the principal executive offices of the corporation not later than five Business Days after the later of the record date for the determination of stockholders entitled to notice of the meeting or the public announcement of the record date. In the case of an update and supplement pursuant to clause (ii) of this Section 5(c),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w:t>
      </w:r>
    </w:p>
    <w:p>
      <w:pPr>
        <w:spacing w:after="0" w:line="81" w:lineRule="exact"/>
        <w:rPr>
          <w:rFonts w:ascii="Times New Roman" w:cs="Times New Roman" w:eastAsia="Times New Roman" w:hAnsi="Times New Roman"/>
          <w:sz w:val="18"/>
          <w:szCs w:val="18"/>
          <w:b w:val="1"/>
          <w:bCs w:val="1"/>
          <w:color w:val="auto"/>
        </w:rPr>
      </w:pPr>
    </w:p>
    <w:p>
      <w:pPr>
        <w:ind w:right="20" w:firstLine="987"/>
        <w:spacing w:after="0" w:line="254" w:lineRule="auto"/>
        <w:tabs>
          <w:tab w:leader="none" w:pos="125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Section 5(b)(iii) to the contrary, in the event that the number of directors in an Expiring Class (as defined below) is increased and no public announcement (1) of the appointment of a director to such class, or (2) if no appointment was made, of the newly created directorship in such class, is made by the corporation at least ten days before the last day a stockholder may deliver a notice of nomination in accordance with Section 5(b)(iii), a stockholder’s notice required by this Section 5 and that complies with the requirements in Section 5(b)(i), other than the timing requirements in Section 5(b)(iii),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day following the day on which such public announcement is first made by the corporation. For purposes of this section, an “</w:t>
      </w:r>
      <w:r>
        <w:rPr>
          <w:rFonts w:ascii="Times New Roman" w:cs="Times New Roman" w:eastAsia="Times New Roman" w:hAnsi="Times New Roman"/>
          <w:sz w:val="18"/>
          <w:szCs w:val="18"/>
          <w:b w:val="1"/>
          <w:bCs w:val="1"/>
          <w:i w:val="1"/>
          <w:iCs w:val="1"/>
          <w:color w:val="auto"/>
        </w:rPr>
        <w:t>Expiring Class</w:t>
      </w:r>
      <w:r>
        <w:rPr>
          <w:rFonts w:ascii="Times New Roman" w:cs="Times New Roman" w:eastAsia="Times New Roman" w:hAnsi="Times New Roman"/>
          <w:sz w:val="18"/>
          <w:szCs w:val="18"/>
          <w:color w:val="auto"/>
        </w:rPr>
        <w:t>” shall mean a class of directors whose term shall expire at the next annual meeting of stockholders.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3" w:name="page14"/>
    <w:bookmarkEnd w:id="13"/>
    <w:p>
      <w:pPr>
        <w:ind w:left="-20" w:firstLine="987"/>
        <w:spacing w:after="0" w:line="252" w:lineRule="auto"/>
        <w:tabs>
          <w:tab w:leader="none" w:pos="121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eligible to be a nominee for election or re-election as a director of the corporation pursuant to a nomination under clause (iii) of Section 5(a) or clause (ii) of Section 6(c) of these Bylaws (with respect to any special meeting of stockholders), each Proponent must deliver (in accordance with the time periods prescribed for delivery of notice under Sections 5(b)(iii), 5(d) or 6(c), as applicable) to the Secretary at the principal executive offices of the corporation a written questionnaire with respect to the background, qualifications, stock ownership and independence of such proposed nominee and the background of any other person or entity on whose behalf the nomination is being made (in the form provided by the Secretary within ten days following a written request therefor by a stockholder of record) and a written representation and agreement (in the form provided by the Secretary within ten days following a written request therefor by a stockholder of record) that such person (i) is not and will not become a party to (A) any agreement, arrangement or understanding (whether oral or in writing)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8"/>
          <w:szCs w:val="18"/>
          <w:b w:val="1"/>
          <w:bCs w:val="1"/>
          <w:i w:val="1"/>
          <w:iCs w:val="1"/>
          <w:color w:val="auto"/>
        </w:rPr>
        <w:t>Voting Commitment</w:t>
      </w:r>
      <w:r>
        <w:rPr>
          <w:rFonts w:ascii="Times New Roman" w:cs="Times New Roman" w:eastAsia="Times New Roman" w:hAnsi="Times New Roman"/>
          <w:sz w:val="18"/>
          <w:szCs w:val="18"/>
          <w:color w:val="auto"/>
        </w:rPr>
        <w:t>”) that has not been disclosed to the corporation in the questionnaire or (B) any Voting Commitment that could limit or interfere with such person’s ability to comply, if elected as a director of the corporation, with such person’s fiduciary duties under applicable law; (ii) is not and will not become a party to any agreement, arrangement or understanding (whether oral or in writing) with any person or entity other than the corporation with respect to any direct or indirect compensation, reimbursement or indemnification in connection with service or action as a director of the corporation or nominee that has not been disclosed in such questionnaire; (iii) would be in compliance, if elected as a director of the corporation, and will comply with, all applicable publicly disclosed corporate governance, conflict of interest, confidentiality and stock ownership and trading policies and guidelines of the corporation; and (iv) if elected as a director of the corporation, intends to serve the entire term until the next meeting at which such candidate would face re-election.</w:t>
      </w:r>
    </w:p>
    <w:p>
      <w:pPr>
        <w:spacing w:after="0" w:line="86" w:lineRule="exact"/>
        <w:rPr>
          <w:rFonts w:ascii="Times New Roman" w:cs="Times New Roman" w:eastAsia="Times New Roman" w:hAnsi="Times New Roman"/>
          <w:sz w:val="18"/>
          <w:szCs w:val="18"/>
          <w:b w:val="1"/>
          <w:bCs w:val="1"/>
          <w:color w:val="auto"/>
        </w:rPr>
      </w:pPr>
    </w:p>
    <w:p>
      <w:pPr>
        <w:ind w:left="-20" w:right="40" w:firstLine="987"/>
        <w:spacing w:after="0" w:line="252" w:lineRule="auto"/>
        <w:tabs>
          <w:tab w:leader="none" w:pos="119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not be eligible for election or re-election as a director unless the person is nominated, in the case of an annual meeting, in accordance with either clause (ii) or (iii) of Section 5(a), and in accordance with the procedures set forth in Section 5(b), Section 5(c), Section 5(d), Section 5(e), Section 5(f) and Section 5(g), as applicable, or in the case of any special meeting of stockholders, in accordance with Section 6(c) and the requirements thereof. Only such business shall be conducted at any annual meeting of the stockholders of the corporation as shall have been brought before the meeting in accordance with clauses (i), (ii) and (iii) of Section 5(a) and in accordance with the procedures set forth in Section 5(b), Section 5(c), Section 5(f) and Section 5(g), as applicable. Notwithstanding anything to the contrary in these Bylaws, unless otherwise required by applicable law, if any Proponent (i) provides notice pursuant to Rule 14a-19(b) promulgated under the 1934 Act with respect to any proposed nominee and (ii) subsequently (x) fails to comply with the requirements of Rule 14a-19 promulgated under the 1934 Act (or fails to timely provide reasonable evidence sufficient to satisfy the corporation that such Proponent has met the requirements of Rule 14a-19(a)(3) promulgated under the 1934 Act in accordance with the next sentence) or (y) fails to inform the corporation that such Proponent no longer plans to solicit proxies in accordance with the requirements of Rule 14a-19 promulgated under the 1934 Act by delivering a written notice to the Secretary at the principal executive offices of the corporation within two Business Days after the occurrence of such change, then the nomination of each such proposed nominee shall be disregarded (and such nominee disqualified from standing for election or re-election), notwithstanding that the nominee is included (as applicable) as a nominee in the corporation’s proxy statement, notice of meeting or other proxy materials for any stockholder meeting (or any supplement thereto) and notwithstanding that proxies or votes in respect of the election of such proposed nominees may have been received by the corporation (which proxies and votes shall be disregarded). If any Proponent provides notice pursuant to Rule 14a-19(b) promulgated under the 1934 Act, such Proponent shall deliver to the corporation, no later than five Business Days prior to the applicable meeting, reasonable evidence that it has met the requirements of Rule 14a-19(a)(3) promulgated under the 1934 Act. Notwithstanding anything to the contrary set forth herein, and for the avoidance of doubt, the nomination of any person whose name is included (as applicable) as a nominee in the corporation’s proxy statement, notice of meeting or other proxy materials for any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14" w:name="page15"/>
    <w:bookmarkEnd w:id="1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meeting (or any supplement thereto) as a result of any notice provided by any Proponent pursuant to Rule 14a-19(b) promulgated under the 1934 Act with respect to such proposed nominee and whose nomination is not made by or at the direction of the Board of Directors or any authorized committee thereof shall not be deemed (for purposes of clause (i) of Section 5(a) or otherwise) to have been made pursuant to the corporation’s notice of meeting (or any supplement thereto) and any such nominee may only be nominated by a Proponent pursuant to clause (iii) of Section 5(a) (and, in the case of a special meeting of stockholders pursuant to and to the extent permitted under Section 6(c) of these Bylaws). Except as otherwise required by applicable law, the chairperson of the meeting shall have the power and duty to determine whether a nomination or any business proposed to be brought before the meeting was made, or proposed, as the case may be, in accordance with the procedures and requirements set forth in these Bylaws (including, without limitation, compliance with Rule 14a-19 promulgated under the 1934 Act) and, if any proposed nomination or business is not in compliance with these Bylaws, or the Proponent does not act in accordance with the representations required by this Section 5, to declare that such proposal or nomination shall not be presented for stockholder action at the meeting and shall be disregarded (and such nominee disqualified from standing for election or re-election), or that such business shall not be transacted, notwithstanding that such proposal or nomination is set forth in (as applicable) the corporation’s proxy statement, notice of meeting, or other proxy materials and notwithstanding that proxies or votes in respect of such nomination or such business may have been solicited or received. Notwithstanding the foregoing provisions of this Section 5, unless otherwise required by applicable law, if the stockholder (or a qualified representative of the stockholder) does not appear at the annual meeting of stockholders of the corporation to present a nomination or proposed business, such nomination shall be disregarded (and such nominee disqualified from standing for election or re-election) and such proposed business shall not be transacted, notwithstanding that such nomination or proposed business is set forth in (as applicable) the corporation’s proxy statement, notice of meeting or other proxy materials and notwithstanding that proxies or votes in respect of such vote may have been solicited or received by the corporation. For purposes of this Section 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which writing or electronic transmission, or a reliable reproduction of the writing or electronic transmission, shall be provided to the Secretary of the corporation at least five Business Days prior to the meeting of stockholders.</w:t>
      </w:r>
    </w:p>
    <w:p>
      <w:pPr>
        <w:spacing w:after="0" w:line="98" w:lineRule="exact"/>
        <w:rPr>
          <w:sz w:val="20"/>
          <w:szCs w:val="20"/>
          <w:color w:val="auto"/>
        </w:rPr>
      </w:pPr>
    </w:p>
    <w:p>
      <w:pPr>
        <w:ind w:firstLine="987"/>
        <w:spacing w:after="0" w:line="254" w:lineRule="auto"/>
        <w:tabs>
          <w:tab w:leader="none" w:pos="124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and any violation thereof shall be deemed a violation of these Bylaws. Nothing in these Bylaws shall be deemed to affect any rights of (i)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any references in these Bylaws to the 1934 Act or the rules and regulations thereunder are not intended to and shall not limit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applicable to proposals and/or nominations to be considered pursuant to Section 5(a)(iii) of these Bylaws, or (ii) the holders of any class or series of stock having a preference over the common stock as to dividends or upon liquidation to make nominations of persons for election to the Board of Directors if and to the extent provided for under applicable law, the Certificate of Incorporation or these Bylaws.</w:t>
      </w:r>
    </w:p>
    <w:p>
      <w:pPr>
        <w:spacing w:after="0" w:line="83"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Sections 5 and 6,</w:t>
      </w:r>
    </w:p>
    <w:p>
      <w:pPr>
        <w:spacing w:after="0" w:line="113" w:lineRule="exact"/>
        <w:rPr>
          <w:sz w:val="20"/>
          <w:szCs w:val="20"/>
          <w:color w:val="auto"/>
        </w:rPr>
      </w:pPr>
    </w:p>
    <w:p>
      <w:pPr>
        <w:ind w:left="1640" w:hanging="212"/>
        <w:spacing w:after="0"/>
        <w:tabs>
          <w:tab w:leader="none" w:pos="1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associates</w:t>
      </w:r>
      <w:r>
        <w:rPr>
          <w:rFonts w:ascii="Times New Roman" w:cs="Times New Roman" w:eastAsia="Times New Roman" w:hAnsi="Times New Roman"/>
          <w:sz w:val="18"/>
          <w:szCs w:val="18"/>
          <w:color w:val="auto"/>
        </w:rPr>
        <w:t>” shall have the meanings set forth in Rule 405 under the Securities Act of 1933, as amended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1933 Act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 w:name="page16"/>
    <w:bookmarkEnd w:id="15"/>
    <w:p>
      <w:pPr>
        <w:ind w:left="1700" w:hanging="272"/>
        <w:spacing w:after="0"/>
        <w:tabs>
          <w:tab w:leader="none" w:pos="17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Saturday, Sunday or a day on which banks are closed in New York City, New York;</w:t>
      </w:r>
    </w:p>
    <w:p>
      <w:pPr>
        <w:spacing w:after="0" w:line="117" w:lineRule="exact"/>
        <w:rPr>
          <w:rFonts w:ascii="Times New Roman" w:cs="Times New Roman" w:eastAsia="Times New Roman" w:hAnsi="Times New Roman"/>
          <w:sz w:val="18"/>
          <w:szCs w:val="18"/>
          <w:b w:val="1"/>
          <w:bCs w:val="1"/>
          <w:color w:val="auto"/>
        </w:rPr>
      </w:pPr>
    </w:p>
    <w:p>
      <w:pPr>
        <w:ind w:firstLine="1428"/>
        <w:spacing w:after="0" w:line="286" w:lineRule="auto"/>
        <w:tabs>
          <w:tab w:leader="none" w:pos="174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 of business</w:t>
      </w:r>
      <w:r>
        <w:rPr>
          <w:rFonts w:ascii="Times New Roman" w:cs="Times New Roman" w:eastAsia="Times New Roman" w:hAnsi="Times New Roman"/>
          <w:sz w:val="18"/>
          <w:szCs w:val="18"/>
          <w:color w:val="auto"/>
        </w:rPr>
        <w:t>” means 5:00 p.m. local time at the principal executive offices of the corporation on any calendar day, whether or not the day is a Business Day;</w:t>
      </w:r>
    </w:p>
    <w:p>
      <w:pPr>
        <w:spacing w:after="0" w:line="46" w:lineRule="exact"/>
        <w:rPr>
          <w:rFonts w:ascii="Times New Roman" w:cs="Times New Roman" w:eastAsia="Times New Roman" w:hAnsi="Times New Roman"/>
          <w:sz w:val="18"/>
          <w:szCs w:val="18"/>
          <w:b w:val="1"/>
          <w:bCs w:val="1"/>
          <w:color w:val="auto"/>
        </w:rPr>
      </w:pPr>
    </w:p>
    <w:p>
      <w:pPr>
        <w:ind w:right="160" w:firstLine="1428"/>
        <w:spacing w:after="0" w:line="286" w:lineRule="auto"/>
        <w:tabs>
          <w:tab w:leader="none" w:pos="173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Derivative Transaction</w:t>
      </w:r>
      <w:r>
        <w:rPr>
          <w:rFonts w:ascii="Times New Roman" w:cs="Times New Roman" w:eastAsia="Times New Roman" w:hAnsi="Times New Roman"/>
          <w:sz w:val="18"/>
          <w:szCs w:val="18"/>
          <w:color w:val="auto"/>
        </w:rPr>
        <w:t>” means any agreement, arrangement, interest or understanding entered into by, or on behalf or for the benefit of, any Proponent or any of its affiliates or associates, whether record or beneficial:</w:t>
      </w:r>
    </w:p>
    <w:p>
      <w:pPr>
        <w:spacing w:after="0" w:line="50" w:lineRule="exact"/>
        <w:rPr>
          <w:rFonts w:ascii="Times New Roman" w:cs="Times New Roman" w:eastAsia="Times New Roman" w:hAnsi="Times New Roman"/>
          <w:sz w:val="18"/>
          <w:szCs w:val="18"/>
          <w:b w:val="1"/>
          <w:bCs w:val="1"/>
          <w:color w:val="auto"/>
        </w:rPr>
      </w:pPr>
    </w:p>
    <w:p>
      <w:pPr>
        <w:ind w:left="2280" w:hanging="301"/>
        <w:spacing w:after="0"/>
        <w:tabs>
          <w:tab w:leader="none" w:pos="228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value of which is derived in whole or in part from the value of any class or series of shares or other securities of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corporation;</w:t>
      </w:r>
    </w:p>
    <w:p>
      <w:pPr>
        <w:spacing w:after="0" w:line="98" w:lineRule="exact"/>
        <w:rPr>
          <w:rFonts w:ascii="Times New Roman" w:cs="Times New Roman" w:eastAsia="Times New Roman" w:hAnsi="Times New Roman"/>
          <w:sz w:val="18"/>
          <w:szCs w:val="18"/>
          <w:b w:val="1"/>
          <w:bCs w:val="1"/>
          <w:color w:val="auto"/>
        </w:rPr>
      </w:pPr>
    </w:p>
    <w:p>
      <w:pPr>
        <w:ind w:left="2260" w:hanging="281"/>
        <w:spacing w:after="0"/>
        <w:tabs>
          <w:tab w:leader="none" w:pos="226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otherwise provides any direct or indirect opportunity to gain or share in any gain derived from a change in the value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securities of the corporation;</w:t>
      </w:r>
    </w:p>
    <w:p>
      <w:pPr>
        <w:spacing w:after="0" w:line="98" w:lineRule="exact"/>
        <w:rPr>
          <w:rFonts w:ascii="Times New Roman" w:cs="Times New Roman" w:eastAsia="Times New Roman" w:hAnsi="Times New Roman"/>
          <w:sz w:val="18"/>
          <w:szCs w:val="18"/>
          <w:b w:val="1"/>
          <w:bCs w:val="1"/>
          <w:color w:val="auto"/>
        </w:rPr>
      </w:pPr>
    </w:p>
    <w:p>
      <w:pPr>
        <w:ind w:left="2280" w:hanging="301"/>
        <w:spacing w:after="0"/>
        <w:tabs>
          <w:tab w:leader="none" w:pos="228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 or intent of which is to mitigate loss, manage risk or benefit from changes in value or price with respect to any</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of the corporation; or</w:t>
      </w:r>
    </w:p>
    <w:p>
      <w:pPr>
        <w:spacing w:after="0" w:line="98" w:lineRule="exact"/>
        <w:rPr>
          <w:rFonts w:ascii="Times New Roman" w:cs="Times New Roman" w:eastAsia="Times New Roman" w:hAnsi="Times New Roman"/>
          <w:sz w:val="18"/>
          <w:szCs w:val="18"/>
          <w:b w:val="1"/>
          <w:bCs w:val="1"/>
          <w:color w:val="auto"/>
        </w:rPr>
      </w:pPr>
    </w:p>
    <w:p>
      <w:pPr>
        <w:ind w:right="440" w:firstLine="1979"/>
        <w:spacing w:after="0" w:line="261" w:lineRule="auto"/>
        <w:tabs>
          <w:tab w:leader="none" w:pos="2277"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provides the right to vote or increase or decrease the voting power of, such Proponent, or any of its affiliates or associates, directly or indirectly, with respect to any securities of the corporation,</w:t>
      </w:r>
    </w:p>
    <w:p>
      <w:pPr>
        <w:ind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74" w:lineRule="exact"/>
        <w:rPr>
          <w:rFonts w:ascii="Times New Roman" w:cs="Times New Roman" w:eastAsia="Times New Roman" w:hAnsi="Times New Roman"/>
          <w:sz w:val="18"/>
          <w:szCs w:val="18"/>
          <w:b w:val="1"/>
          <w:bCs w:val="1"/>
          <w:color w:val="auto"/>
        </w:rPr>
      </w:pPr>
    </w:p>
    <w:p>
      <w:pPr>
        <w:ind w:right="100" w:firstLine="1428"/>
        <w:spacing w:after="0" w:line="262" w:lineRule="auto"/>
        <w:tabs>
          <w:tab w:leader="none" w:pos="168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Newswires, Associated Press, Business Wire, GlobeNewswire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6. Special Meetings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firstLine="987"/>
        <w:spacing w:after="0" w:line="256" w:lineRule="auto"/>
        <w:tabs>
          <w:tab w:leader="none" w:pos="124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stockholders of the corporation may be called, for any purpose as is a proper matter for stockholder action under Delaware law, by (i) the Chairperson of the Board of Directors, (ii) any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The corporation may postpone, reschedule, or cancel any special meeting of stockholders previously scheduled by the Board of Directors at any time, before or after notice of such meeting has been sent to the stockholders.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6" w:name="page17"/>
    <w:bookmarkEnd w:id="16"/>
    <w:p>
      <w:pPr>
        <w:ind w:firstLine="987"/>
        <w:spacing w:after="0" w:line="266" w:lineRule="auto"/>
        <w:tabs>
          <w:tab w:leader="none" w:pos="125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No business may be transacted at such special meeting otherwise than specified in the notice of meeting.</w:t>
      </w:r>
    </w:p>
    <w:p>
      <w:pPr>
        <w:spacing w:after="0" w:line="67" w:lineRule="exact"/>
        <w:rPr>
          <w:rFonts w:ascii="Times New Roman" w:cs="Times New Roman" w:eastAsia="Times New Roman" w:hAnsi="Times New Roman"/>
          <w:sz w:val="18"/>
          <w:szCs w:val="18"/>
          <w:b w:val="1"/>
          <w:bCs w:val="1"/>
          <w:color w:val="auto"/>
        </w:rPr>
      </w:pPr>
    </w:p>
    <w:p>
      <w:pPr>
        <w:ind w:right="20" w:firstLine="987"/>
        <w:spacing w:after="0" w:line="252" w:lineRule="auto"/>
        <w:tabs>
          <w:tab w:leader="none" w:pos="123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at the time of giving notice provided for in this paragraph, who is a stockholder of record at the time of the special meeting of stockholders, who is entitled to vote at the meeting and who complied with Sections 5(b)(i), 5(b)(iv), 5(c), 5(e) and 5(f). The number of nominees a stockholder may nominate for election at the special meeting on its own behalf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of Directors, any such stockholder of record entitled to vote in such election of directors may nominate a person or persons (as the case may be), for election to such position(s) as specified in the corporation’s notice of meeting, if written notice setting forth the information required by Section 5(b)(i) of these Bylaws shall be received by the Secretary at the principal executive offices of the corporation not earlier than the close of business on the 120th day prior to such special meeting and not later than the close of business on the later of the 90th day prior to such meeting or the tenth day following the day on which the corporation first makes a public announcement of the date of the special meeting and of the nominees proposed by the Board of Directors to be elected at such meeting.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87" w:lineRule="exact"/>
        <w:rPr>
          <w:rFonts w:ascii="Times New Roman" w:cs="Times New Roman" w:eastAsia="Times New Roman" w:hAnsi="Times New Roman"/>
          <w:sz w:val="18"/>
          <w:szCs w:val="18"/>
          <w:b w:val="1"/>
          <w:bCs w:val="1"/>
          <w:color w:val="auto"/>
        </w:rPr>
      </w:pPr>
    </w:p>
    <w:p>
      <w:pPr>
        <w:ind w:right="60" w:firstLine="987"/>
        <w:spacing w:after="0" w:line="253" w:lineRule="auto"/>
        <w:tabs>
          <w:tab w:leader="none" w:pos="125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person shall not be eligible for election or re-election as a director at the special meeting unless the person is nominated either in accordance with clause (i) or clause (ii) of Section 6(c) of these Bylaws. Except as otherwise required by applicable law, the chairperson of the special meeting shall have the power and duty to determine whether a nomination was made in accordance with the procedures and requirements set forth in these Bylaws and, if any proposed nomination or business is not in compliance with these Bylaws (including, without limitation, compliance with Rule 14a-19 promulgated under the 1934 Act), or if the Proponent does not act in accordance with the representations required by Section 5, to declare that such nomination shall not be presented for stockholder action at the meeting and shall be disregarded (and such nominee disqualified from standing for election or re-election), notwithstanding that such nomination is set forth in (as applicable) the corporation’s proxy statement, notice of meeting or other proxy materials and notwithstanding that proxies or votes in respect of such nomination may have been solicited or received. Notwithstanding the foregoing provisions of this Section 6, unless otherwise required by applicable law, if the stockholder (or a qualified representative of the stockholder (meeting the requirements specified in Section 5(f)) does not appear at the special meeting of stockholders of the corporation to present a nomination, such nomination shall be disregarded (and such nominee disqualified from standing for election or re-election), notwithstanding that the nomination is set forth in (as applicable) the corporation’s proxy statement, notice of meeting or other proxy materials and notwithstanding that proxies or votes in respect of such nomination may have been solicited or received by the corporation.</w:t>
      </w:r>
    </w:p>
    <w:p>
      <w:pPr>
        <w:spacing w:after="0" w:line="79" w:lineRule="exact"/>
        <w:rPr>
          <w:rFonts w:ascii="Times New Roman" w:cs="Times New Roman" w:eastAsia="Times New Roman" w:hAnsi="Times New Roman"/>
          <w:sz w:val="18"/>
          <w:szCs w:val="18"/>
          <w:b w:val="1"/>
          <w:bCs w:val="1"/>
          <w:color w:val="auto"/>
        </w:rPr>
      </w:pPr>
    </w:p>
    <w:p>
      <w:pPr>
        <w:ind w:right="20" w:firstLine="987"/>
        <w:spacing w:after="0" w:line="258" w:lineRule="auto"/>
        <w:tabs>
          <w:tab w:leader="none" w:pos="123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the foregoing provisions of this Section 6, a stockholder must also comply with all applicable requirements of the 1934 Act and the rules and regulations thereunder with respect to matters set forth in this Section 6 and any violation thereof shall be deemed a violation of these Bylaws. Nothing in these Bylaws shall be deemed to affect any rights of (i)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references in these Bylaws to the 1934 Act or the rules and regulations thereunder are not intended to and shall not limit the requirements applicable to nominations for the election to the Board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7" w:name="page18"/>
    <w:bookmarkEnd w:id="17"/>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Directors or proposals of other business to be considered pursuant to Section 6(c) of these Bylaws, or (ii) the holders of any class or series of stock having a preference over the common stock as to dividends or upon liquidation to make nominations of persons for election to the Board of Directors if and to the extent provided for under applicable law, the Certificate of Incorporation or these Bylaws.</w:t>
      </w:r>
    </w:p>
    <w:p>
      <w:pPr>
        <w:spacing w:after="0" w:line="17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 Notice of Meetings. </w:t>
      </w:r>
      <w:r>
        <w:rPr>
          <w:rFonts w:ascii="Times New Roman" w:cs="Times New Roman" w:eastAsia="Times New Roman" w:hAnsi="Times New Roman"/>
          <w:sz w:val="18"/>
          <w:szCs w:val="18"/>
          <w:color w:val="auto"/>
        </w:rPr>
        <w:t>Except as otherwise provided by applicable law, notice of each meeting of stockholders shall be given not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ten nor more than 60 days before the date of the meeting to each stockholder entitled to vote at such meeting as of the record date for determining the stockholders entitled to notice of such meeting. Such notice shall specify the place, if any, date and hour of such meeting, the record date for determining stockholders entitled to vote at the meeting, if such record date is different from the record date for determining stockholders entitled to notice of the meeting, in the case of special meetings, the purpose or purposes of the meeting, and the means of remote communications, if any, by which stockholders and proxyholders may be deemed to be present in person and vote at any such meeting. Notice shall be deemed given as provided in Section 232 of the DGCL.</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 Quorum and Vote Required. </w:t>
      </w:r>
      <w:r>
        <w:rPr>
          <w:rFonts w:ascii="Times New Roman" w:cs="Times New Roman" w:eastAsia="Times New Roman" w:hAnsi="Times New Roman"/>
          <w:sz w:val="18"/>
          <w:szCs w:val="18"/>
          <w:color w:val="auto"/>
        </w:rPr>
        <w:t>At all meetings of stockholders, except where otherwise required by statute or by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by the Bylaws, the presence, in person, by remote communication, if applicable, or by proxy duly authorized, of the holders of one-third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Except as otherwise provided by statute or by applicable stock exchange rules, or by the Certificate of Incorporation or the Bylaws, in all matters other than the election of directors, 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shall be the act of the stockholders. Except as otherwise required by statute, the Certificate of Incorporation or the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required by statute or by the Certificate of Incorporation or the Bylaws or any applicable stock exchange rules, a majority of the voting power of the outstanding shares of such class or classes or series, present in person, by remote communication, if applicable, or represented by proxy duly authorized at the meeting, shall constitute a quorum entitled to take action with respect to that vote on that matter. Except where otherwise provided by statute or by the Certificate of Incorporation or the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duly authorized at the meeting and voting affirmatively or negatively (excluding abstention and broker non-votes) on such matter shall be the act of such class or classes or series.</w:t>
      </w:r>
    </w:p>
    <w:p>
      <w:pPr>
        <w:spacing w:after="0" w:line="18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 Adjournment and Notice of Adjourned Meetings. </w:t>
      </w:r>
      <w:r>
        <w:rPr>
          <w:rFonts w:ascii="Times New Roman" w:cs="Times New Roman" w:eastAsia="Times New Roman" w:hAnsi="Times New Roman"/>
          <w:sz w:val="18"/>
          <w:szCs w:val="18"/>
          <w:color w:val="auto"/>
        </w:rPr>
        <w:t>Any meeting of stockholders, whether annual or special, may be adjourned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either by the chairperson of the meeting, by any duly authorized officer of the corporation, or by the holders of a majority of the voting power of the shares present in person, by remote communication, if applicable, or represented by proxy duly authorized at the meeting and entitled to vote on the matter. The meeting may be adjourned for any purpose, including, but not limited to, allowing additional time to solicit votes on one or more matters, to disseminate additional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8" w:name="page19"/>
    <w:bookmarkEnd w:id="18"/>
    <w:p>
      <w:pPr>
        <w:ind w:left="4"/>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to stockholders, or to count votes. When a meeting is adjourned to another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proxyholders may be deemed present in person and may vote at such meeting are (i) announced at the meeting at which the adjournment is taken, (ii) displayed, during the time scheduled for the meeting, on the same electronic network used to enable stockholders and proxyholders to participate in the meeting by means of remote communication, or (iii) set forth in the notice of meeting given in accordance with Section 7 of these Bylaws. Upon being reconvened, the adjourned meeting shall be deemed to be a continuation of the original meeting.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39(a) of these Bylaws, and shall give notice of the adjourned meeting to each stockholder of record entitled to vote at such adjourned meeting as of the record date fixed for notice of such adjourned meeting.</w:t>
      </w:r>
    </w:p>
    <w:p>
      <w:pPr>
        <w:spacing w:after="0" w:line="178"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 Voting Rights. </w:t>
      </w:r>
      <w:r>
        <w:rPr>
          <w:rFonts w:ascii="Times New Roman" w:cs="Times New Roman" w:eastAsia="Times New Roman" w:hAnsi="Times New Roman"/>
          <w:sz w:val="18"/>
          <w:szCs w:val="18"/>
          <w:color w:val="auto"/>
        </w:rPr>
        <w:t>For the purpose of determining those stockholders entitled to vote at any meeting of the stockholders or adjournment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except as otherwise provided by applicable law, only persons in whose names shares stand on the stock records of the corporation on the record date, as provided in Section 12 of these Bylaws, shall be entitled to vote at any meeting of stockholders. Each stockholder entitled to vote at a meeting of stockholders may authorize another person or persons to act for such stockholder by proxy. No proxy shall be voted after three years from its date of creation unless the proxy provides for a longer period. Any stockholder directly or indirectly soliciting proxies from other stockholders must use a proxy card color other than white, which shall be reserved for the exclusive use of the Board of Directors.</w:t>
      </w:r>
    </w:p>
    <w:p>
      <w:pPr>
        <w:spacing w:after="0" w:line="182"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11. Joint Owners of Stock. </w:t>
      </w:r>
      <w:r>
        <w:rPr>
          <w:rFonts w:ascii="Times New Roman" w:cs="Times New Roman" w:eastAsia="Times New Roman" w:hAnsi="Times New Roman"/>
          <w:sz w:val="18"/>
          <w:szCs w:val="18"/>
          <w:color w:val="auto"/>
        </w:rPr>
        <w:t>If shares or other securities having voting power stand of record in the names of two or more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or (c) if more than one votes, but the vote is evenly split on any particular matter, each faction may vote the securities in question proportionally, or any person voting the shares, or a beneficiary, if any, may apply to the Delaware Court of Chancery or such other court as may have jurisdiction for relief as provided in Section 217(b) of the DGCL. If the instrument filed with the Secretary shows that any such tenancy is held in unequal interests, a majority or even-split for the purpose of subsection (c) shall be a majority or even-split in interest.</w:t>
      </w:r>
    </w:p>
    <w:p>
      <w:pPr>
        <w:spacing w:after="0" w:line="18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 List of Stockholders. </w:t>
      </w:r>
      <w:r>
        <w:rPr>
          <w:rFonts w:ascii="Times New Roman" w:cs="Times New Roman" w:eastAsia="Times New Roman" w:hAnsi="Times New Roman"/>
          <w:sz w:val="18"/>
          <w:szCs w:val="18"/>
          <w:color w:val="auto"/>
        </w:rPr>
        <w:t>The corporation shall prepare, no later than the tenth day before each meeting of stockholders, a complete list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stockholders entitled to vote at said meeting, arranged in alphabetical order, showing the address of each stockholder and the number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Nothing in this Section 12 shall require the corporation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provided that the information required to gain access to such list is provided with the notice of the meeting, or</w:t>
      </w:r>
    </w:p>
    <w:p>
      <w:pPr>
        <w:spacing w:after="0" w:line="1" w:lineRule="exact"/>
        <w:rPr>
          <w:sz w:val="20"/>
          <w:szCs w:val="20"/>
          <w:color w:val="auto"/>
        </w:rPr>
      </w:pPr>
    </w:p>
    <w:p>
      <w:pPr>
        <w:jc w:val="both"/>
        <w:ind w:left="4" w:right="320" w:hanging="4"/>
        <w:spacing w:after="0" w:line="255" w:lineRule="auto"/>
        <w:tabs>
          <w:tab w:leader="none" w:pos="2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9" w:name="page20"/>
    <w:bookmarkEnd w:id="19"/>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 Action without Meeting. </w:t>
      </w:r>
      <w:r>
        <w:rPr>
          <w:rFonts w:ascii="Times New Roman" w:cs="Times New Roman" w:eastAsia="Times New Roman" w:hAnsi="Times New Roman"/>
          <w:sz w:val="18"/>
          <w:szCs w:val="18"/>
          <w:color w:val="auto"/>
        </w:rPr>
        <w:t>No action shall be taken by the stockholders of the corporation except at an annual or special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duly called in accordance with the Bylaws, and no action shall be taken by the stockholders by written consent or by electronic transmission.</w:t>
      </w:r>
    </w:p>
    <w:p>
      <w:pPr>
        <w:spacing w:after="0" w:line="171"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 Remote Communication. </w:t>
      </w:r>
      <w:r>
        <w:rPr>
          <w:rFonts w:ascii="Times New Roman" w:cs="Times New Roman" w:eastAsia="Times New Roman" w:hAnsi="Times New Roman"/>
          <w:sz w:val="18"/>
          <w:szCs w:val="18"/>
          <w:color w:val="auto"/>
        </w:rPr>
        <w:t>For the purposes of the Bylaws, if authorized by the Board of Directors in its sole discretion,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guidelines and procedures as the Board of Directors may adopt, stockholders and proxyholders not physically present at a meeting of stockholders may, by means of remote communication:</w:t>
      </w:r>
    </w:p>
    <w:p>
      <w:pPr>
        <w:spacing w:after="0" w:line="67" w:lineRule="exact"/>
        <w:rPr>
          <w:sz w:val="20"/>
          <w:szCs w:val="20"/>
          <w:color w:val="auto"/>
        </w:rPr>
      </w:pPr>
    </w:p>
    <w:p>
      <w:pPr>
        <w:ind w:left="1240" w:hanging="253"/>
        <w:spacing w:after="0"/>
        <w:tabs>
          <w:tab w:leader="none" w:pos="12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participate in a meeting of stockholders; and</w:t>
      </w:r>
    </w:p>
    <w:p>
      <w:pPr>
        <w:spacing w:after="0" w:line="117" w:lineRule="exact"/>
        <w:rPr>
          <w:rFonts w:ascii="Times New Roman" w:cs="Times New Roman" w:eastAsia="Times New Roman" w:hAnsi="Times New Roman"/>
          <w:sz w:val="18"/>
          <w:szCs w:val="18"/>
          <w:b w:val="1"/>
          <w:bCs w:val="1"/>
          <w:color w:val="auto"/>
        </w:rPr>
      </w:pPr>
    </w:p>
    <w:p>
      <w:pPr>
        <w:ind w:firstLine="987"/>
        <w:spacing w:after="0" w:line="255" w:lineRule="auto"/>
        <w:tabs>
          <w:tab w:leader="none" w:pos="125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15. Organization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87"/>
        <w:spacing w:after="0" w:line="254" w:lineRule="auto"/>
        <w:tabs>
          <w:tab w:leader="none" w:pos="124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every meeting of stockholders, the Chairperson of the Board of Directors, or, if a Chairperson has not been appointed, is absent or refuses to act, the Lead Independent Director, or if no Lead Independent Director is then serving or the Lead Independent Director is absent or refuses to act, any Chief Executive Officer, or if no Chief Executive 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shall act as chairperson of the meeting of stockholders. The Chairperson of the Board of Directors may appoint any Chief Executive Officer as chairperson of the meeting. The Secretary, or, in his or her absence, an Assistant Secretary or other officer or other person directed to do so by the chairperson of the meeting, shall act as secretary of the meeting.</w:t>
      </w:r>
    </w:p>
    <w:p>
      <w:pPr>
        <w:spacing w:after="0" w:line="83" w:lineRule="exact"/>
        <w:rPr>
          <w:rFonts w:ascii="Times New Roman" w:cs="Times New Roman" w:eastAsia="Times New Roman" w:hAnsi="Times New Roman"/>
          <w:sz w:val="18"/>
          <w:szCs w:val="18"/>
          <w:b w:val="1"/>
          <w:bCs w:val="1"/>
          <w:color w:val="auto"/>
        </w:rPr>
      </w:pPr>
    </w:p>
    <w:p>
      <w:pPr>
        <w:ind w:right="40" w:firstLine="987"/>
        <w:spacing w:after="0" w:line="253" w:lineRule="auto"/>
        <w:tabs>
          <w:tab w:leader="none" w:pos="125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20" w:name="page21"/>
    <w:bookmarkEnd w:id="20"/>
    <w:p>
      <w:pPr>
        <w:ind w:firstLine="987"/>
        <w:spacing w:after="0" w:line="256" w:lineRule="auto"/>
        <w:tabs>
          <w:tab w:leader="none" w:pos="123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this Article III requires one or more persons (including a record or beneficial owner of stock) to deliver a document or information (other than a document authorizing another person to act for a stockholder by proxy at a meeting of stockholders pursuant to Section 212 of the DGCL)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jc w:val="both"/>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16. Number and Term of Office. </w:t>
      </w:r>
      <w:r>
        <w:rPr>
          <w:rFonts w:ascii="Times New Roman" w:cs="Times New Roman" w:eastAsia="Times New Roman" w:hAnsi="Times New Roman"/>
          <w:sz w:val="18"/>
          <w:szCs w:val="18"/>
          <w:color w:val="auto"/>
        </w:rPr>
        <w:t>The authorized number of directors of the corporation shall be fixed in accordance with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 Bylaws.</w:t>
      </w:r>
    </w:p>
    <w:p>
      <w:pPr>
        <w:spacing w:after="0" w:line="176"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17. Powers. </w:t>
      </w:r>
      <w:r>
        <w:rPr>
          <w:rFonts w:ascii="Times New Roman" w:cs="Times New Roman" w:eastAsia="Times New Roman" w:hAnsi="Times New Roman"/>
          <w:sz w:val="18"/>
          <w:szCs w:val="18"/>
          <w:color w:val="auto"/>
        </w:rPr>
        <w:t>The business and affairs of the corporation shall be managed by or under the direction of the Board of Directors,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otherwise provided by the Certificate of Incorporation or the DGCL.</w:t>
      </w:r>
    </w:p>
    <w:p>
      <w:pPr>
        <w:spacing w:after="0" w:line="15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18. Classes of Directors. </w:t>
      </w:r>
      <w:r>
        <w:rPr>
          <w:rFonts w:ascii="Times New Roman" w:cs="Times New Roman" w:eastAsia="Times New Roman" w:hAnsi="Times New Roman"/>
          <w:sz w:val="18"/>
          <w:szCs w:val="18"/>
          <w:color w:val="auto"/>
        </w:rPr>
        <w:t>The directors shall be divided into classes as and to the extent provided in the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required by applicable law.</w:t>
      </w:r>
    </w:p>
    <w:p>
      <w:pPr>
        <w:spacing w:after="0" w:line="15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19. Vacancies. </w:t>
      </w:r>
      <w:r>
        <w:rPr>
          <w:rFonts w:ascii="Times New Roman" w:cs="Times New Roman" w:eastAsia="Times New Roman" w:hAnsi="Times New Roman"/>
          <w:sz w:val="18"/>
          <w:szCs w:val="18"/>
          <w:color w:val="auto"/>
        </w:rPr>
        <w:t>Vacancies on the Board of Directors shall be filled as provided in the Certificate of Incorporation, except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applicable law.</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 Resignation. </w:t>
      </w:r>
      <w:r>
        <w:rPr>
          <w:rFonts w:ascii="Times New Roman" w:cs="Times New Roman" w:eastAsia="Times New Roman" w:hAnsi="Times New Roman"/>
          <w:sz w:val="18"/>
          <w:szCs w:val="18"/>
          <w:color w:val="auto"/>
        </w:rPr>
        <w:t>Any director may resign at any time by delivering his or her notice in writing or by electronic transmission to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or the Secretary. Such resignation shall take effect at the time of delivery of the notice or at any later time specified therein. Acceptance of such resignation shall not be necessary to make it effective.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or until his or her earlier death, resignation or removal.</w:t>
      </w:r>
    </w:p>
    <w:p>
      <w:pPr>
        <w:spacing w:after="0" w:line="183"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 Removal. </w:t>
      </w:r>
      <w:r>
        <w:rPr>
          <w:rFonts w:ascii="Times New Roman" w:cs="Times New Roman" w:eastAsia="Times New Roman" w:hAnsi="Times New Roman"/>
          <w:sz w:val="18"/>
          <w:szCs w:val="18"/>
          <w:color w:val="auto"/>
        </w:rPr>
        <w:t>Subject to the rights of holders of any series of preferred stock to elect additional directors under specified circumstances,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or any individual director may be removed only in the manner specified in the Certificate of Incorporation, except as otherwise required by applicable law.</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22. Meetings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87"/>
        <w:spacing w:after="0" w:line="259" w:lineRule="auto"/>
        <w:tabs>
          <w:tab w:leader="none" w:pos="124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Regular Meetings. </w:t>
      </w:r>
      <w:r>
        <w:rPr>
          <w:rFonts w:ascii="Times New Roman" w:cs="Times New Roman" w:eastAsia="Times New Roman" w:hAnsi="Times New Roman"/>
          <w:sz w:val="18"/>
          <w:szCs w:val="18"/>
          <w:color w:val="auto"/>
        </w:rPr>
        <w:t>Unless otherwise restricted by the Certificate of Incorporation, regular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or date and at any place, if any, within or without the State of Delaware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w:t>
      </w:r>
    </w:p>
    <w:p>
      <w:pPr>
        <w:spacing w:after="0" w:line="71" w:lineRule="exact"/>
        <w:rPr>
          <w:rFonts w:ascii="Times New Roman" w:cs="Times New Roman" w:eastAsia="Times New Roman" w:hAnsi="Times New Roman"/>
          <w:sz w:val="18"/>
          <w:szCs w:val="18"/>
          <w:b w:val="1"/>
          <w:bCs w:val="1"/>
          <w:color w:val="auto"/>
        </w:rPr>
      </w:pPr>
    </w:p>
    <w:p>
      <w:pPr>
        <w:ind w:right="200" w:firstLine="987"/>
        <w:spacing w:after="0" w:line="268" w:lineRule="auto"/>
        <w:tabs>
          <w:tab w:leader="none" w:pos="125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Special Meetings. </w:t>
      </w:r>
      <w:r>
        <w:rPr>
          <w:rFonts w:ascii="Times New Roman" w:cs="Times New Roman" w:eastAsia="Times New Roman" w:hAnsi="Times New Roman"/>
          <w:sz w:val="18"/>
          <w:szCs w:val="18"/>
          <w:color w:val="auto"/>
        </w:rPr>
        <w:t>Unless otherwise restricted by the Certificate of Incorporation, special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and place, if any, within or without the State of Delaware as designated and called by the Chairperson of the Board of Directors, the Lead Independent Director, any Chief Executive Officer or the Board of Directors.</w:t>
      </w:r>
    </w:p>
    <w:p>
      <w:pPr>
        <w:spacing w:after="0" w:line="62" w:lineRule="exact"/>
        <w:rPr>
          <w:rFonts w:ascii="Times New Roman" w:cs="Times New Roman" w:eastAsia="Times New Roman" w:hAnsi="Times New Roman"/>
          <w:sz w:val="18"/>
          <w:szCs w:val="18"/>
          <w:b w:val="1"/>
          <w:bCs w:val="1"/>
          <w:color w:val="auto"/>
        </w:rPr>
      </w:pPr>
    </w:p>
    <w:p>
      <w:pPr>
        <w:ind w:right="360" w:firstLine="987"/>
        <w:spacing w:after="0" w:line="268" w:lineRule="auto"/>
        <w:tabs>
          <w:tab w:leader="none" w:pos="123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Meetings by Electronic Communications Equipment. </w:t>
      </w:r>
      <w:r>
        <w:rPr>
          <w:rFonts w:ascii="Times New Roman" w:cs="Times New Roman" w:eastAsia="Times New Roman" w:hAnsi="Times New Roman"/>
          <w:sz w:val="18"/>
          <w:szCs w:val="18"/>
          <w:color w:val="auto"/>
        </w:rPr>
        <w:t>Any member of the Board of Directors, or of any committee thereof,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62" w:lineRule="exact"/>
        <w:rPr>
          <w:rFonts w:ascii="Times New Roman" w:cs="Times New Roman" w:eastAsia="Times New Roman" w:hAnsi="Times New Roman"/>
          <w:sz w:val="18"/>
          <w:szCs w:val="18"/>
          <w:b w:val="1"/>
          <w:bCs w:val="1"/>
          <w:color w:val="auto"/>
        </w:rPr>
      </w:pPr>
    </w:p>
    <w:p>
      <w:pPr>
        <w:jc w:val="both"/>
        <w:ind w:right="100" w:firstLine="987"/>
        <w:spacing w:after="0" w:line="262" w:lineRule="auto"/>
        <w:tabs>
          <w:tab w:leader="none" w:pos="125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of Special Meetings. </w:t>
      </w:r>
      <w:r>
        <w:rPr>
          <w:rFonts w:ascii="Times New Roman" w:cs="Times New Roman" w:eastAsia="Times New Roman" w:hAnsi="Times New Roman"/>
          <w:sz w:val="18"/>
          <w:szCs w:val="18"/>
          <w:color w:val="auto"/>
        </w:rPr>
        <w:t>Notice of the time and place, if any, of all special meetings of the Board of Directors shall be transmitted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orally or in writing, by telephone, including a voice messaging system or other system or technology designed to record and communicate messages, or by electronic mail or other electronic means at least 24 hours before the date and time of the meeting. If notice is sent by U.S. mail, it shall be sent by first class mail, postage prepaid, at least three days before the date of the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23. Quorum and Voting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60" w:firstLine="987"/>
        <w:spacing w:after="0" w:line="255" w:lineRule="auto"/>
        <w:tabs>
          <w:tab w:leader="none" w:pos="124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Certificate of Incorporation requires a greater number, and except with respect to questions related to indemnification arising under Section 46 for which a quorum shall be one-third of the exact number of directors fixed from time to time by the Board of Directors in accordance with the Certificate of Incorporation, a quorum of the Board of Directors shall consist of a majority of the total number of directors then serving on the Board of Directors or, if greater, one-third of the exact number of directors fixed from time to time by the Board of Directors in accordance with the Certificate of Incorporation.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80" w:lineRule="exact"/>
        <w:rPr>
          <w:rFonts w:ascii="Times New Roman" w:cs="Times New Roman" w:eastAsia="Times New Roman" w:hAnsi="Times New Roman"/>
          <w:sz w:val="18"/>
          <w:szCs w:val="18"/>
          <w:b w:val="1"/>
          <w:bCs w:val="1"/>
          <w:color w:val="auto"/>
        </w:rPr>
      </w:pPr>
    </w:p>
    <w:p>
      <w:pPr>
        <w:ind w:right="540" w:firstLine="987"/>
        <w:spacing w:after="0" w:line="266" w:lineRule="auto"/>
        <w:tabs>
          <w:tab w:leader="none" w:pos="125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each meeting of the Board of Directors at which a quorum is present, all questions and business shall be determined by the affirmative vote of a majority of the directors present, unless a different vote be required by applicable law, the Certificate of Incorporation or the Bylaws.</w:t>
      </w:r>
    </w:p>
    <w:p>
      <w:pPr>
        <w:spacing w:after="0" w:line="17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24. Action without Meeting. </w:t>
      </w:r>
      <w:r>
        <w:rPr>
          <w:rFonts w:ascii="Times New Roman" w:cs="Times New Roman" w:eastAsia="Times New Roman" w:hAnsi="Times New Roman"/>
          <w:sz w:val="18"/>
          <w:szCs w:val="18"/>
          <w:color w:val="auto"/>
        </w:rPr>
        <w:t>Unless otherwise restricted by the Certificate of Incorporation or the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After an action is taken, such consent or consents shall be filed with the minutes of proceedings of the Board of Directors or committee. Such filing shall be in paper form if the minutes are maintained in paper form and shall be in electronic form if the minutes are maintained in electronic form.</w:t>
      </w:r>
    </w:p>
    <w:p>
      <w:pPr>
        <w:spacing w:after="0" w:line="71" w:lineRule="exact"/>
        <w:rPr>
          <w:sz w:val="20"/>
          <w:szCs w:val="20"/>
          <w:color w:val="auto"/>
        </w:rPr>
      </w:pPr>
    </w:p>
    <w:p>
      <w:pPr>
        <w:ind w:right="480" w:firstLine="987"/>
        <w:spacing w:after="0" w:line="268" w:lineRule="auto"/>
        <w:tabs>
          <w:tab w:leader="none" w:pos="124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Fees and Compensation. </w:t>
      </w:r>
      <w:r>
        <w:rPr>
          <w:rFonts w:ascii="Times New Roman" w:cs="Times New Roman" w:eastAsia="Times New Roman" w:hAnsi="Times New Roman"/>
          <w:sz w:val="18"/>
          <w:szCs w:val="18"/>
          <w:color w:val="auto"/>
        </w:rPr>
        <w:t>Directors shall be entitled to such compensation for their services as may be approved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or a committee thereof to which the Board of Directors has delegated such responsibility and authority, including, if so approved, by resolution of the Board of Directors or a committee thereof to which the Board of Directors has delegated such responsibility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22" w:name="page23"/>
    <w:bookmarkEnd w:id="22"/>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authority, a fixed sum and reimbursement of expenses incurred, if any, for attendance at each regular or special meeting of the Board of Directors and at any meeting of a committee of the Board of Directors, as well as reimbursement for other reasonable expenses incurred with respect to duties as a member of the Board of Directors or any committee thereof. Nothing herein contained shall be construed to preclude any director from serving the corporation in any other capacity as an officer, agent, employee, or otherwise and receiving compensation therefor.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25. Committees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72" w:lineRule="auto"/>
        <w:tabs>
          <w:tab w:leader="none" w:pos="1250" w:val="left"/>
        </w:tabs>
        <w:numPr>
          <w:ilvl w:val="1"/>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Executive Committee. </w:t>
      </w:r>
      <w:r>
        <w:rPr>
          <w:rFonts w:ascii="Times New Roman" w:cs="Times New Roman" w:eastAsia="Times New Roman" w:hAnsi="Times New Roman"/>
          <w:sz w:val="17"/>
          <w:szCs w:val="17"/>
          <w:color w:val="auto"/>
        </w:rPr>
        <w:t>The Board of Directors may appoint an Executive Committee to consist of one or more members of the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Directors. The Executive Committee, to 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w:t>
      </w:r>
    </w:p>
    <w:p>
      <w:pPr>
        <w:ind w:left="4" w:right="60" w:hanging="4"/>
        <w:spacing w:after="0" w:line="260" w:lineRule="auto"/>
        <w:tabs>
          <w:tab w:leader="none" w:pos="2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69" w:lineRule="exact"/>
        <w:rPr>
          <w:rFonts w:ascii="Times New Roman" w:cs="Times New Roman" w:eastAsia="Times New Roman" w:hAnsi="Times New Roman"/>
          <w:sz w:val="18"/>
          <w:szCs w:val="18"/>
          <w:color w:val="auto"/>
        </w:rPr>
      </w:pPr>
    </w:p>
    <w:p>
      <w:pPr>
        <w:ind w:left="4" w:right="60" w:firstLine="987"/>
        <w:spacing w:after="0" w:line="262" w:lineRule="auto"/>
        <w:tabs>
          <w:tab w:leader="none" w:pos="126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Committees. </w:t>
      </w:r>
      <w:r>
        <w:rPr>
          <w:rFonts w:ascii="Times New Roman" w:cs="Times New Roman" w:eastAsia="Times New Roman" w:hAnsi="Times New Roman"/>
          <w:sz w:val="18"/>
          <w:szCs w:val="18"/>
          <w:color w:val="auto"/>
        </w:rPr>
        <w:t>The Board of Directors may, from time to time, appoint such other committees as may be permitted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 Bylaws.</w:t>
      </w:r>
    </w:p>
    <w:p>
      <w:pPr>
        <w:spacing w:after="0" w:line="68" w:lineRule="exact"/>
        <w:rPr>
          <w:rFonts w:ascii="Times New Roman" w:cs="Times New Roman" w:eastAsia="Times New Roman" w:hAnsi="Times New Roman"/>
          <w:sz w:val="18"/>
          <w:szCs w:val="18"/>
          <w:b w:val="1"/>
          <w:bCs w:val="1"/>
          <w:color w:val="auto"/>
        </w:rPr>
      </w:pPr>
    </w:p>
    <w:p>
      <w:pPr>
        <w:ind w:left="4" w:right="40" w:firstLine="987"/>
        <w:spacing w:after="0" w:line="254" w:lineRule="auto"/>
        <w:tabs>
          <w:tab w:leader="none" w:pos="1237"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Board of Directors, subject to any requirements of any outstanding series of preferred stock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80" w:lineRule="exact"/>
        <w:rPr>
          <w:rFonts w:ascii="Times New Roman" w:cs="Times New Roman" w:eastAsia="Times New Roman" w:hAnsi="Times New Roman"/>
          <w:sz w:val="18"/>
          <w:szCs w:val="18"/>
          <w:b w:val="1"/>
          <w:bCs w:val="1"/>
          <w:color w:val="auto"/>
        </w:rPr>
      </w:pPr>
    </w:p>
    <w:p>
      <w:pPr>
        <w:ind w:left="4" w:firstLine="987"/>
        <w:spacing w:after="0" w:line="254" w:lineRule="auto"/>
        <w:tabs>
          <w:tab w:leader="none" w:pos="126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Meetings. </w:t>
      </w:r>
      <w:r>
        <w:rPr>
          <w:rFonts w:ascii="Times New Roman" w:cs="Times New Roman" w:eastAsia="Times New Roman" w:hAnsi="Times New Roman"/>
          <w:sz w:val="18"/>
          <w:szCs w:val="18"/>
          <w:color w:val="auto"/>
        </w:rPr>
        <w:t>Unless the Board of Directors shall otherwise provide, regular meetings of the Executive Committee or any other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pursuant to this Section 25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3" w:name="page24"/>
    <w:bookmarkEnd w:id="23"/>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26. Duties of Chairperson of the Board of Directors. </w:t>
      </w:r>
      <w:r>
        <w:rPr>
          <w:rFonts w:ascii="Times New Roman" w:cs="Times New Roman" w:eastAsia="Times New Roman" w:hAnsi="Times New Roman"/>
          <w:sz w:val="18"/>
          <w:szCs w:val="18"/>
          <w:color w:val="auto"/>
        </w:rPr>
        <w:t>The Chairperson of the Board of Directors, when present, shall preside 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the stockholders and the Board of Directors. The Chairperson of the Board of Directors shall perform such other duties customarily associated with the office and shall also perform such other duties and have such other powers, as the Board of Directors shall designate from time to time.</w:t>
      </w:r>
    </w:p>
    <w:p>
      <w:pPr>
        <w:spacing w:after="0" w:line="176"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27. Lead Independent Director. </w:t>
      </w:r>
      <w:r>
        <w:rPr>
          <w:rFonts w:ascii="Times New Roman" w:cs="Times New Roman" w:eastAsia="Times New Roman" w:hAnsi="Times New Roman"/>
          <w:sz w:val="18"/>
          <w:szCs w:val="18"/>
          <w:color w:val="auto"/>
        </w:rPr>
        <w:t>The Chairperson of the Board of Directors, or if the Chairperson is not an independent director, one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independent directors, may be designated by the Board of Directors as lead independent director to serve until replaced by the Board of Directors (“</w:t>
      </w:r>
      <w:r>
        <w:rPr>
          <w:rFonts w:ascii="Times New Roman" w:cs="Times New Roman" w:eastAsia="Times New Roman" w:hAnsi="Times New Roman"/>
          <w:sz w:val="18"/>
          <w:szCs w:val="18"/>
          <w:b w:val="1"/>
          <w:bCs w:val="1"/>
          <w:i w:val="1"/>
          <w:iCs w:val="1"/>
          <w:color w:val="auto"/>
        </w:rPr>
        <w:t>Lead Independent Director</w:t>
      </w:r>
      <w:r>
        <w:rPr>
          <w:rFonts w:ascii="Times New Roman" w:cs="Times New Roman" w:eastAsia="Times New Roman" w:hAnsi="Times New Roman"/>
          <w:sz w:val="18"/>
          <w:szCs w:val="18"/>
          <w:color w:val="auto"/>
        </w:rPr>
        <w:t>”). If appointed, the Lead Independent Director will preside over meetings of the independent directors and perform such other duties as may be established or delegated by the Board of Directors and perform such other duties as may be established or delegated by the Chairperson of the Board of Directors</w:t>
      </w:r>
    </w:p>
    <w:p>
      <w:pPr>
        <w:spacing w:after="0" w:line="179"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28. Organization. </w:t>
      </w:r>
      <w:r>
        <w:rPr>
          <w:rFonts w:ascii="Times New Roman" w:cs="Times New Roman" w:eastAsia="Times New Roman" w:hAnsi="Times New Roman"/>
          <w:sz w:val="18"/>
          <w:szCs w:val="18"/>
          <w:color w:val="auto"/>
        </w:rPr>
        <w:t>At every meeting of the directors, the Chairperson of the Board of Directors, or, if a Chairperson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or is absent, the Lead Independent Director, or if the Lead Independent Director has not been appointed or is absent, any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29. Officers Designated. </w:t>
      </w:r>
      <w:r>
        <w:rPr>
          <w:rFonts w:ascii="Times New Roman" w:cs="Times New Roman" w:eastAsia="Times New Roman" w:hAnsi="Times New Roman"/>
          <w:sz w:val="18"/>
          <w:szCs w:val="18"/>
          <w:color w:val="auto"/>
        </w:rPr>
        <w:t>The officers of the corporation shall include, if and when designated by the Board of Directors,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Officers,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applicable law, the Certificate of Incorporation or the Bylaws. The salaries and other compensation of the officers of the corporation shall be fixed by or in the manner designated by the Board of Directors or by a committee thereof to which the Board of Directors has delegated such responsibility.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 Tenure and Duties of Officers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60" w:firstLine="987"/>
        <w:spacing w:after="0" w:line="262" w:lineRule="auto"/>
        <w:tabs>
          <w:tab w:leader="none" w:pos="124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All officers shall hold office at the pleasure of the Board of Directors and until their successors shall have been duly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qualified, unless sooner removed. If the office of any officer becomes vacant for any reason, the vacancy may be filled by the Board of Directors or by a committee thereof to which the Board of Directors has delegated such responsibility or, if so authorized by the Board of Directors, by any Chief Executive Officer or another officer of the corporation.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24" w:name="page25"/>
    <w:bookmarkEnd w:id="24"/>
    <w:p>
      <w:pPr>
        <w:ind w:right="60" w:firstLine="987"/>
        <w:spacing w:after="0" w:line="254" w:lineRule="auto"/>
        <w:tabs>
          <w:tab w:leader="none" w:pos="125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Duties of Chief Executive Officer. </w:t>
      </w:r>
      <w:r>
        <w:rPr>
          <w:rFonts w:ascii="Times New Roman" w:cs="Times New Roman" w:eastAsia="Times New Roman" w:hAnsi="Times New Roman"/>
          <w:sz w:val="18"/>
          <w:szCs w:val="18"/>
          <w:color w:val="auto"/>
        </w:rPr>
        <w:t>Any Chief Executive Officer shall preside at all meetings of the stockholders and, if a director,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meetings of the Board of Directors, unless a Chairperson of the Board of Directors or Lead Independent Director has been appointed and is present. Each Chief Executive Officer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Chief Executive Officer. To the extent that any Chief Executive Officer has been appointed and no President has been appointed, all references in the Bylaws to the President shall be deemed references to any Chief Executive Officer. The Chief Executive Officer shall perform other duties customarily associated with the office and shall also perform such other duties and have such other powers, as the Board of Directors shall designate from time to time. If the Board of Directors appoints more than one Chief Executive Officer, the Board may prescribe such duties, responsibilities, and powers to each Chief Executive Officer as it determines appropriate. In the absence of a prescription by the Board otherwise, each reference to the Chief Executive Officer in these Bylaws or in any other corporate authorization shall mean each and either such person, acting individually.</w:t>
      </w:r>
    </w:p>
    <w:p>
      <w:pPr>
        <w:spacing w:after="0" w:line="74" w:lineRule="exact"/>
        <w:rPr>
          <w:rFonts w:ascii="Times New Roman" w:cs="Times New Roman" w:eastAsia="Times New Roman" w:hAnsi="Times New Roman"/>
          <w:sz w:val="18"/>
          <w:szCs w:val="18"/>
          <w:b w:val="1"/>
          <w:bCs w:val="1"/>
          <w:color w:val="auto"/>
        </w:rPr>
      </w:pPr>
    </w:p>
    <w:p>
      <w:pPr>
        <w:ind w:firstLine="987"/>
        <w:spacing w:after="0" w:line="255" w:lineRule="auto"/>
        <w:tabs>
          <w:tab w:leader="none" w:pos="123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President. </w:t>
      </w:r>
      <w:r>
        <w:rPr>
          <w:rFonts w:ascii="Times New Roman" w:cs="Times New Roman" w:eastAsia="Times New Roman" w:hAnsi="Times New Roman"/>
          <w:sz w:val="18"/>
          <w:szCs w:val="18"/>
          <w:color w:val="auto"/>
        </w:rPr>
        <w:t>The President shall preside at all meetings of the stockholders and, if a director, at all meetings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unless a Chairperson of the Board of Directors, Lead Independent Director, or Chief Executive Officer has been appointed and is present. Unless another officer has been appointed Chief Executive Officer of the corporation, the President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President. The President shall perform other duties customarily associated with the office and shall also perform such other duties and have such other powers, as the Board of Directors (or any Chief Executive Officer, if the Chief Executive Officer and President are not the same person and the Board of Directors has delegated the designation of the President’s duties to the Chief Executive Officer) shall designate from time to time.</w:t>
      </w:r>
    </w:p>
    <w:p>
      <w:pPr>
        <w:spacing w:after="0" w:line="76" w:lineRule="exact"/>
        <w:rPr>
          <w:rFonts w:ascii="Times New Roman" w:cs="Times New Roman" w:eastAsia="Times New Roman" w:hAnsi="Times New Roman"/>
          <w:sz w:val="18"/>
          <w:szCs w:val="18"/>
          <w:b w:val="1"/>
          <w:bCs w:val="1"/>
          <w:color w:val="auto"/>
        </w:rPr>
      </w:pPr>
    </w:p>
    <w:p>
      <w:pPr>
        <w:ind w:right="140" w:firstLine="987"/>
        <w:spacing w:after="0" w:line="259" w:lineRule="auto"/>
        <w:tabs>
          <w:tab w:leader="none" w:pos="125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Vice Presidents. </w:t>
      </w:r>
      <w:r>
        <w:rPr>
          <w:rFonts w:ascii="Times New Roman" w:cs="Times New Roman" w:eastAsia="Times New Roman" w:hAnsi="Times New Roman"/>
          <w:sz w:val="18"/>
          <w:szCs w:val="18"/>
          <w:color w:val="auto"/>
        </w:rPr>
        <w:t>A Vice President may assume and perform the duties of the President in the absence or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or whenever the office of President is vacant (unless the duties of the President are being filled by any Chief Executive Officer). A Vice President shall perform other duties customarily associated with the office and shall also perform such other duties and have such other powers as the Board of Directors or any Chief Executive Officer, or, if no Chief Executive Officer has been appointed or is absent, the President shall designate from time to time.</w:t>
      </w:r>
    </w:p>
    <w:p>
      <w:pPr>
        <w:spacing w:after="0" w:line="71"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3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Secretary and Assistant Secretary. </w:t>
      </w:r>
      <w:r>
        <w:rPr>
          <w:rFonts w:ascii="Times New Roman" w:cs="Times New Roman" w:eastAsia="Times New Roman" w:hAnsi="Times New Roman"/>
          <w:sz w:val="18"/>
          <w:szCs w:val="18"/>
          <w:color w:val="auto"/>
        </w:rPr>
        <w:t>The Secretary shall attend all meetings of the stockholders and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record all acts, votes and proceedings thereof in the minute books of the corporation. The Secretary shall give notice in conformity with the Bylaws of all meetings of the stockholders and of all meetings of the Board of Directors and any committee thereof requiring notice. The Secretary shall perform all other duties provided for in the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Any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of Directors or any Chief Executive Officer, or if no Chief Executive Officer is then serving, the President shall designate from time to time.</w:t>
      </w:r>
    </w:p>
    <w:p>
      <w:pPr>
        <w:spacing w:after="0" w:line="80" w:lineRule="exact"/>
        <w:rPr>
          <w:rFonts w:ascii="Times New Roman" w:cs="Times New Roman" w:eastAsia="Times New Roman" w:hAnsi="Times New Roman"/>
          <w:sz w:val="18"/>
          <w:szCs w:val="18"/>
          <w:b w:val="1"/>
          <w:bCs w:val="1"/>
          <w:color w:val="auto"/>
        </w:rPr>
      </w:pPr>
    </w:p>
    <w:p>
      <w:pPr>
        <w:ind w:firstLine="987"/>
        <w:spacing w:after="0" w:line="268" w:lineRule="auto"/>
        <w:tabs>
          <w:tab w:leader="none" w:pos="121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Chief Financial Officer. </w:t>
      </w:r>
      <w:r>
        <w:rPr>
          <w:rFonts w:ascii="Times New Roman" w:cs="Times New Roman" w:eastAsia="Times New Roman" w:hAnsi="Times New Roman"/>
          <w:sz w:val="18"/>
          <w:szCs w:val="18"/>
          <w:color w:val="auto"/>
        </w:rPr>
        <w:t>The Chief Financial Officer shall keep or cause to be kept the books of account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thorough and proper manner and shall render statements of the financial affairs of the corporation in such form and as often as required by the Board of Directors, any Chief Executive Officer, or the President. The Chief Financial Officer, subject to the order of the Board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25" w:name="page26"/>
    <w:bookmarkEnd w:id="25"/>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Directors, shall have the custody of all funds and securities of the corporation. The Chief Financial Officer shall perform other duties customarily associated with the office and shall also perform such other duties and have such other powers as the Board of Directors or any Chief Executive Officer, or if no Chief Executive Officer is then serving, the President shall designate from time to time. To the extent that a Chief Financial Officer has been appointed and no Treasurer has been appointed, all references in the Bylaws to the Treasurer shall be deemed references to the Chief Financial Officer. The President may direct the Treasurer, if any, or any Assistant Treasurer to assume and perform the duties of the Chief Financial Officer in the absence or disability of the Chief Financial Officer.</w:t>
      </w:r>
    </w:p>
    <w:p>
      <w:pPr>
        <w:spacing w:after="0" w:line="75" w:lineRule="exact"/>
        <w:rPr>
          <w:sz w:val="20"/>
          <w:szCs w:val="20"/>
          <w:color w:val="auto"/>
        </w:rPr>
      </w:pPr>
    </w:p>
    <w:p>
      <w:pPr>
        <w:ind w:firstLine="987"/>
        <w:spacing w:after="0" w:line="254" w:lineRule="auto"/>
        <w:tabs>
          <w:tab w:leader="none" w:pos="1246"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Duties of Treasurer and Assistant Treasurer. </w:t>
      </w:r>
      <w:r>
        <w:rPr>
          <w:rFonts w:ascii="Times New Roman" w:cs="Times New Roman" w:eastAsia="Times New Roman" w:hAnsi="Times New Roman"/>
          <w:sz w:val="18"/>
          <w:szCs w:val="18"/>
          <w:color w:val="auto"/>
        </w:rPr>
        <w:t>Unless another officer has been appointed Chief Financial Officer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Treasurer shall be the chief financial officer of the corporation, shall keep or cause to be kept the books of account of the corporation in a thorough and proper manner and shall render statements of the financial affairs of the corporation in such form and as often as required by the Board of Directors, any Chief Executive Officer or the President. Unless another officer has been appointed Chief Financial Officer of the corporation, the Treasurer, subject to the order of the Board of Directors, shall have the custody of all funds and securities of the corporation. The Treasurer shall perform other duties customarily associated with the office and shall also perform such other duties and have such other powers as the Board of Directors or any Chief Executive Officer, or if no Chief Executive Officer is then serving, the President shall designate from time to time. Any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of Directors or any Chief Executive Officer, or if no Chief Executive Officer is then serving, the President shall designate from time to time.</w:t>
      </w:r>
    </w:p>
    <w:p>
      <w:pPr>
        <w:spacing w:after="0" w:line="182"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 Delegation of Authority. </w:t>
      </w:r>
      <w:r>
        <w:rPr>
          <w:rFonts w:ascii="Times New Roman" w:cs="Times New Roman" w:eastAsia="Times New Roman" w:hAnsi="Times New Roman"/>
          <w:sz w:val="18"/>
          <w:szCs w:val="18"/>
          <w:color w:val="auto"/>
        </w:rPr>
        <w:t>The Board of Directors may from time to time delegate the powers or duties of any officer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agent, notwithstanding any provision hereof.</w:t>
      </w:r>
    </w:p>
    <w:p>
      <w:pPr>
        <w:spacing w:after="0" w:line="15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32. Resignations. </w:t>
      </w:r>
      <w:r>
        <w:rPr>
          <w:rFonts w:ascii="Times New Roman" w:cs="Times New Roman" w:eastAsia="Times New Roman" w:hAnsi="Times New Roman"/>
          <w:sz w:val="18"/>
          <w:szCs w:val="18"/>
          <w:color w:val="auto"/>
        </w:rPr>
        <w:t>Any officer may resign at any time by giving notice in writing or by electronic transmission to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Chairperson of the Board of Directors, any Chief Executive Officer, the President or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79"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33. Removal. </w:t>
      </w:r>
      <w:r>
        <w:rPr>
          <w:rFonts w:ascii="Times New Roman" w:cs="Times New Roman" w:eastAsia="Times New Roman" w:hAnsi="Times New Roman"/>
          <w:sz w:val="18"/>
          <w:szCs w:val="18"/>
          <w:color w:val="auto"/>
        </w:rPr>
        <w:t>Any officer may be removed from office at any time, either with or without cause, by the Board of Directors, or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thereof or any superior officer upon whom such power of removal may have been conferred by the Board of Directors.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 OF SECURITIES OWNED BY THE CORPORATION</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34. Execution of Corporate Instruments. </w:t>
      </w:r>
      <w:r>
        <w:rPr>
          <w:rFonts w:ascii="Times New Roman" w:cs="Times New Roman" w:eastAsia="Times New Roman" w:hAnsi="Times New Roman"/>
          <w:sz w:val="18"/>
          <w:szCs w:val="18"/>
          <w:color w:val="auto"/>
        </w:rPr>
        <w:t>The Board of Directors may, in its discretion, determine the method and designate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signatory officer or officers, or other 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 Bylaws, and such execution or signature shall be binding upon the corporation.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6" w:name="page27"/>
    <w:bookmarkEnd w:id="26"/>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checks and drafts drawn on banks or other depositaries on funds to the credit of the corporation or in special accounts of the corporation shall be signed by such person or persons as the Board of Directors shall from time to time authorize so to do.</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specifically determined by the Board of Directors or otherwise required by applicable law, the execution, signing or endorsement of any corporate instrument or document may be effected manually, by facsimile or (to the extent permitted by applicable law and subject to such policies and procedures as the corporation may have in effect from time to time) by electronic signature.</w:t>
      </w:r>
    </w:p>
    <w:p>
      <w:pPr>
        <w:spacing w:after="0" w:line="176"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36"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35. Voting of Securities Owned by the Corporation. </w:t>
      </w:r>
      <w:r>
        <w:rPr>
          <w:rFonts w:ascii="Times New Roman" w:cs="Times New Roman" w:eastAsia="Times New Roman" w:hAnsi="Times New Roman"/>
          <w:sz w:val="18"/>
          <w:szCs w:val="18"/>
          <w:color w:val="auto"/>
        </w:rPr>
        <w:t>All stock and other securities of or interests in other corporations or entities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any Chief Executive Officer, the President, or any Vice President.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36. Form and Execution of Certificates. </w:t>
      </w:r>
      <w:r>
        <w:rPr>
          <w:rFonts w:ascii="Times New Roman" w:cs="Times New Roman" w:eastAsia="Times New Roman" w:hAnsi="Times New Roman"/>
          <w:sz w:val="18"/>
          <w:szCs w:val="18"/>
          <w:color w:val="auto"/>
        </w:rPr>
        <w:t>The shares of the corporation shall be represented by certificates, or shall be uncertificated if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including, without limitation, the Chairperson of the Board of Directors, any Chief Executive Officer, the President, any Vice President, the Chief Financial Officer, the Treasurer, an Assistant Treasurer, the Secretary or an Assistant Secretary, certifying the number, and the class or series,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88"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37. Lost Certificates. </w:t>
      </w:r>
      <w:r>
        <w:rPr>
          <w:rFonts w:ascii="Times New Roman" w:cs="Times New Roman" w:eastAsia="Times New Roman" w:hAnsi="Times New Roman"/>
          <w:sz w:val="18"/>
          <w:szCs w:val="18"/>
          <w:color w:val="auto"/>
        </w:rPr>
        <w:t>The corporation may issue a new certificate or certificates or uncertificated shares in place of any certificate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give the corporation a bond (or other adequate security) sufficient to indemnify it against any claim that may be made against the corporation with respect to the certificate alleged to have been lost, stolen, or destroyed or the issuance of such new certificate or uncertificated shares.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38. Transfers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00" w:firstLine="987"/>
        <w:spacing w:after="0" w:line="266" w:lineRule="auto"/>
        <w:tabs>
          <w:tab w:leader="none" w:pos="124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7" w:name="page28"/>
    <w:bookmarkEnd w:id="27"/>
    <w:p>
      <w:pPr>
        <w:ind w:right="20" w:firstLine="987"/>
        <w:spacing w:after="0" w:line="266" w:lineRule="auto"/>
        <w:tabs>
          <w:tab w:leader="none" w:pos="1256"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39. Fixing Record Dates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987"/>
        <w:spacing w:after="0" w:line="253" w:lineRule="auto"/>
        <w:tabs>
          <w:tab w:leader="none" w:pos="124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ten days before the date of such meeting. If the Board of Directors so fixes a record date for determining the stockholders entitled to notice of any meeting of stockholders, such date shall also be the record date for determining the stockholders entitled to vote at such meeting, unless the Board of Directors determines, at the time it fixes the record date for determining the stockholders entitled to notice of such meeting, that a later date on or before the date of the meeting shall be the record date for determining the stockholders entitled to vote at such meeting. If no record date is fixed by the Board of Directors, the record date for determining stockholders entitled to notice of and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Board of Directors may fix a new record date for determining the stockholders entitled to vote at the adjourned meeting,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such case shall also fix as the record date for stockholders entitled to notice of such adjourned meeting the same or an earlier date as that fixed for determination of stockholders entitled to vote in accordance with the foregoing provisions of this Section 39(a) at the adjourned meeting.</w:t>
      </w:r>
    </w:p>
    <w:p>
      <w:pPr>
        <w:spacing w:after="0" w:line="79" w:lineRule="exact"/>
        <w:rPr>
          <w:rFonts w:ascii="Times New Roman" w:cs="Times New Roman" w:eastAsia="Times New Roman" w:hAnsi="Times New Roman"/>
          <w:sz w:val="18"/>
          <w:szCs w:val="18"/>
          <w:b w:val="1"/>
          <w:bCs w:val="1"/>
          <w:color w:val="auto"/>
        </w:rPr>
      </w:pPr>
    </w:p>
    <w:p>
      <w:pPr>
        <w:ind w:right="20" w:firstLine="987"/>
        <w:spacing w:after="0" w:line="256" w:lineRule="auto"/>
        <w:tabs>
          <w:tab w:leader="none" w:pos="125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3" w:lineRule="exact"/>
        <w:rPr>
          <w:sz w:val="20"/>
          <w:szCs w:val="20"/>
          <w:color w:val="auto"/>
        </w:rPr>
      </w:pPr>
    </w:p>
    <w:p>
      <w:pPr>
        <w:jc w:val="both"/>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 Registered Stockholders. </w:t>
      </w:r>
      <w:r>
        <w:rPr>
          <w:rFonts w:ascii="Times New Roman" w:cs="Times New Roman" w:eastAsia="Times New Roman" w:hAnsi="Times New Roman"/>
          <w:sz w:val="18"/>
          <w:szCs w:val="18"/>
          <w:color w:val="auto"/>
        </w:rPr>
        <w:t>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6"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 Additional Powers of the Board. </w:t>
      </w:r>
      <w:r>
        <w:rPr>
          <w:rFonts w:ascii="Times New Roman" w:cs="Times New Roman" w:eastAsia="Times New Roman" w:hAnsi="Times New Roman"/>
          <w:sz w:val="18"/>
          <w:szCs w:val="18"/>
          <w:color w:val="auto"/>
        </w:rPr>
        <w:t>In addition to, and without limiting, the powers set forth in the Bylaws, the Board of Directors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power and authority to make all such rules and regulations as it shall deem expedient concerning the issue, transfer, and registration of certificates for shares of stock of the corporation, including the use of uncertificated shares of stock, subject to the provisions of the DGCL, other applicable law, the Certificate of Incorporation and the Bylaws. The Board of Directors may appoint and remove transfer agents and registrars of transfers, and may require all stock certificates to bear the signature of any such transfer agent and/or any such registrar of transfers.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42. Execution of Other Securities. </w:t>
      </w:r>
      <w:r>
        <w:rPr>
          <w:rFonts w:ascii="Times New Roman" w:cs="Times New Roman" w:eastAsia="Times New Roman" w:hAnsi="Times New Roman"/>
          <w:sz w:val="18"/>
          <w:szCs w:val="18"/>
          <w:color w:val="auto"/>
        </w:rPr>
        <w:t>All bonds, debentures and other corporate securities of the corporation, other than stock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in Section 36), may be signed by the Chairperson of the Board of Directors, any Chief Executive Officer, the President or any Vice President, or such other person as may be authorized by the Board of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an executive officer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5" w:lineRule="exact"/>
        <w:rPr>
          <w:sz w:val="20"/>
          <w:szCs w:val="20"/>
          <w:color w:val="auto"/>
        </w:rPr>
      </w:pPr>
    </w:p>
    <w:p>
      <w:pPr>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43. Declaration of Dividends. </w:t>
      </w:r>
      <w:r>
        <w:rPr>
          <w:rFonts w:ascii="Times New Roman" w:cs="Times New Roman" w:eastAsia="Times New Roman" w:hAnsi="Times New Roman"/>
          <w:sz w:val="18"/>
          <w:szCs w:val="18"/>
          <w:color w:val="auto"/>
        </w:rPr>
        <w:t>Dividends upon the capital stock of the corporation, subject to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applicable law, if any, may be declared by the Board of Directors. Dividends may be paid in cash, in property, or in shares of the corporation’s capital stock, subject to the provisions of the Certificate of Incorporation and applicable law.</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44. Dividend Reserve. </w:t>
      </w:r>
      <w:r>
        <w:rPr>
          <w:rFonts w:ascii="Times New Roman" w:cs="Times New Roman" w:eastAsia="Times New Roman" w:hAnsi="Times New Roman"/>
          <w:sz w:val="18"/>
          <w:szCs w:val="18"/>
          <w:color w:val="auto"/>
        </w:rPr>
        <w:t>Before payment of any dividend, there may be set aside out of any funds of the corporation available for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sum or sums as the Board of Directors from time to time, in its absolute discretion, determines proper as a reserve or reserves to meet contingencies, or for equalizing dividends,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45. Fiscal Year. </w:t>
      </w:r>
      <w:r>
        <w:rPr>
          <w:rFonts w:ascii="Times New Roman" w:cs="Times New Roman" w:eastAsia="Times New Roman" w:hAnsi="Times New Roman"/>
          <w:sz w:val="18"/>
          <w:szCs w:val="18"/>
          <w:color w:val="auto"/>
        </w:rPr>
        <w:t>The fiscal year of the corporation shall be fixed by resolution of the Board of Directors.</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29" w:name="page30"/>
    <w:bookmarkEnd w:id="29"/>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46. Indemnification of Directors, Executive Officers, Employees and Other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67" w:lineRule="auto"/>
        <w:tabs>
          <w:tab w:leader="none" w:pos="1250" w:val="left"/>
        </w:tabs>
        <w:numPr>
          <w:ilvl w:val="1"/>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Directors and Executive Officers. </w:t>
      </w:r>
      <w:r>
        <w:rPr>
          <w:rFonts w:ascii="Times New Roman" w:cs="Times New Roman" w:eastAsia="Times New Roman" w:hAnsi="Times New Roman"/>
          <w:sz w:val="17"/>
          <w:szCs w:val="17"/>
          <w:color w:val="auto"/>
        </w:rPr>
        <w:t>The corporation shall indemnify to the full extent permitted under and in any manner permitted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DGCL, any person who is made or threatened to be made a party to or is otherwise involved (as a witness or otherwise) in any threatened, pending, or completed action, suit, or proceeding, whether civil, criminal, administrative, or investigative (hereinafter, a “</w:t>
      </w:r>
      <w:r>
        <w:rPr>
          <w:rFonts w:ascii="Times New Roman" w:cs="Times New Roman" w:eastAsia="Times New Roman" w:hAnsi="Times New Roman"/>
          <w:sz w:val="17"/>
          <w:szCs w:val="17"/>
          <w:b w:val="1"/>
          <w:bCs w:val="1"/>
          <w:i w:val="1"/>
          <w:iCs w:val="1"/>
          <w:color w:val="auto"/>
        </w:rPr>
        <w:t>Proceeding</w:t>
      </w:r>
      <w:r>
        <w:rPr>
          <w:rFonts w:ascii="Times New Roman" w:cs="Times New Roman" w:eastAsia="Times New Roman" w:hAnsi="Times New Roman"/>
          <w:sz w:val="17"/>
          <w:szCs w:val="17"/>
          <w:color w:val="auto"/>
        </w:rPr>
        <w:t>”), by reason of the fact that such person is or was a director or executive officer (for the purposes of this Article XI, “executive officers” shall be those persons designated by the corporation as (a) executive officers for purposes of the disclosures required in the corporation’s proxy and 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w:t>
      </w:r>
      <w:r>
        <w:rPr>
          <w:rFonts w:ascii="Times New Roman" w:cs="Times New Roman" w:eastAsia="Times New Roman" w:hAnsi="Times New Roman"/>
          <w:sz w:val="17"/>
          <w:szCs w:val="17"/>
          <w:b w:val="1"/>
          <w:bCs w:val="1"/>
          <w:i w:val="1"/>
          <w:iCs w:val="1"/>
          <w:color w:val="auto"/>
        </w:rPr>
        <w:t>Another Enterprise</w:t>
      </w:r>
      <w:r>
        <w:rPr>
          <w:rFonts w:ascii="Times New Roman" w:cs="Times New Roman" w:eastAsia="Times New Roman" w:hAnsi="Times New Roman"/>
          <w:sz w:val="17"/>
          <w:szCs w:val="17"/>
          <w:color w:val="auto"/>
        </w:rPr>
        <w:t xml:space="preserve">”), whether the basis of such Proceeding is alleged action in an official capacity as a director or executive officer or in any other capacity while serving as a director or executive officer, against expenses,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corporation shall not be required to indemnify any such person in connection with any Proceeding (or part thereof) initiated by such person unless</w:t>
      </w:r>
    </w:p>
    <w:p>
      <w:pPr>
        <w:spacing w:after="0" w:line="3" w:lineRule="exact"/>
        <w:rPr>
          <w:rFonts w:ascii="Times New Roman" w:cs="Times New Roman" w:eastAsia="Times New Roman" w:hAnsi="Times New Roman"/>
          <w:sz w:val="17"/>
          <w:szCs w:val="17"/>
          <w:b w:val="1"/>
          <w:bCs w:val="1"/>
          <w:color w:val="auto"/>
        </w:rPr>
      </w:pPr>
    </w:p>
    <w:p>
      <w:pPr>
        <w:jc w:val="both"/>
        <w:ind w:left="4" w:right="420" w:hanging="4"/>
        <w:spacing w:after="0" w:line="255" w:lineRule="auto"/>
        <w:tabs>
          <w:tab w:leader="none" w:pos="2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expressly required to be made by applicable law, (ii) the Proceeding was authorized by the Board of Directors, (iii) such indemnification is provided by the corporation, in its sole discretion, pursuant to the powers vested in the corporation under the DGCL or (iv) such indemnification is required to be made under subsection (d) of this Section 46.</w:t>
      </w:r>
    </w:p>
    <w:p>
      <w:pPr>
        <w:spacing w:after="0" w:line="73" w:lineRule="exact"/>
        <w:rPr>
          <w:rFonts w:ascii="Times New Roman" w:cs="Times New Roman" w:eastAsia="Times New Roman" w:hAnsi="Times New Roman"/>
          <w:sz w:val="18"/>
          <w:szCs w:val="18"/>
          <w:color w:val="auto"/>
        </w:rPr>
      </w:pPr>
    </w:p>
    <w:p>
      <w:pPr>
        <w:jc w:val="both"/>
        <w:ind w:left="4" w:right="300" w:firstLine="987"/>
        <w:spacing w:after="0" w:line="262" w:lineRule="auto"/>
        <w:tabs>
          <w:tab w:leader="none" w:pos="126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Officers, Employees and Other Agents. </w:t>
      </w:r>
      <w:r>
        <w:rPr>
          <w:rFonts w:ascii="Times New Roman" w:cs="Times New Roman" w:eastAsia="Times New Roman" w:hAnsi="Times New Roman"/>
          <w:sz w:val="18"/>
          <w:szCs w:val="18"/>
          <w:color w:val="auto"/>
        </w:rPr>
        <w:t>The corporation shall have power to indemnify (including the power to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 a manner consistent with subsection (c) of this Section 46) its other officers, employees and other agents as set forth in the DGCL. The Board of Directors shall have the power to delegate the determination of whether indemnification shall be given to any such person except executive officers to such officers or other persons as the Board of Directors shall determine.</w:t>
      </w:r>
    </w:p>
    <w:p>
      <w:pPr>
        <w:spacing w:after="0" w:line="68" w:lineRule="exact"/>
        <w:rPr>
          <w:rFonts w:ascii="Times New Roman" w:cs="Times New Roman" w:eastAsia="Times New Roman" w:hAnsi="Times New Roman"/>
          <w:sz w:val="18"/>
          <w:szCs w:val="18"/>
          <w:b w:val="1"/>
          <w:bCs w:val="1"/>
          <w:color w:val="auto"/>
        </w:rPr>
      </w:pPr>
    </w:p>
    <w:p>
      <w:pPr>
        <w:ind w:left="4" w:right="20" w:firstLine="987"/>
        <w:spacing w:after="0" w:line="254" w:lineRule="auto"/>
        <w:tabs>
          <w:tab w:leader="none" w:pos="124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The corporation shall advance to any current or former director or executive officer of the corporation or to any person,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serving as a director or executive officer of the corporation, is or was serving at the request of the corporation as a director or executive officer of Another Enterprise, prior to the final disposition of the Proceeding, promptly following request therefor, all expenses incurred by any such person in connection with defending (or participating as a witness in) a Proceeding; provided, however, that if the DGCL requires, an advancement of expenses incurred by a current or former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Times New Roman" w:cs="Times New Roman" w:eastAsia="Times New Roman" w:hAnsi="Times New Roman"/>
          <w:sz w:val="18"/>
          <w:szCs w:val="18"/>
          <w:b w:val="1"/>
          <w:bCs w:val="1"/>
          <w:i w:val="1"/>
          <w:iCs w:val="1"/>
          <w:color w:val="auto"/>
        </w:rPr>
        <w:t>undertaking</w:t>
      </w:r>
      <w:r>
        <w:rPr>
          <w:rFonts w:ascii="Times New Roman" w:cs="Times New Roman" w:eastAsia="Times New Roman" w:hAnsi="Times New Roman"/>
          <w:sz w:val="18"/>
          <w:szCs w:val="18"/>
          <w:color w:val="auto"/>
        </w:rPr>
        <w:t>”), by or on behalf of such indemnitee, to repay all amounts so advanced if it shall ultimately be determined by final judicial decision from which there is no further right to appeal (hereinafter a “</w:t>
      </w:r>
      <w:r>
        <w:rPr>
          <w:rFonts w:ascii="Times New Roman" w:cs="Times New Roman" w:eastAsia="Times New Roman" w:hAnsi="Times New Roman"/>
          <w:sz w:val="18"/>
          <w:szCs w:val="18"/>
          <w:b w:val="1"/>
          <w:bCs w:val="1"/>
          <w:i w:val="1"/>
          <w:iCs w:val="1"/>
          <w:color w:val="auto"/>
        </w:rPr>
        <w:t>final adjudication</w:t>
      </w:r>
      <w:r>
        <w:rPr>
          <w:rFonts w:ascii="Times New Roman" w:cs="Times New Roman" w:eastAsia="Times New Roman" w:hAnsi="Times New Roman"/>
          <w:sz w:val="18"/>
          <w:szCs w:val="18"/>
          <w:color w:val="auto"/>
        </w:rPr>
        <w:t>”) that such indemnitee is not entitled to be indemnified for such expenses under this Section 46 or otherwise.</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6" w:right="459" w:bottom="1440" w:gutter="0" w:footer="0" w:header="0"/>
        </w:sectPr>
      </w:pPr>
    </w:p>
    <w:bookmarkStart w:id="30" w:name="page31"/>
    <w:bookmarkEnd w:id="30"/>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unless otherwise determined pursuant to paragraph (d) of this Section 46, no advance shall be made by the corporation to a current or former executive officer of the corporation (except by reason of the fact that such executive officer is or was a director of the corporation in which event this paragraph shall not apply) in any Proceeding,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 or with respect to a criminal action or Proceeding that such person had reasonable cause to believe that his or her conduct was unlawful.</w:t>
      </w:r>
    </w:p>
    <w:p>
      <w:pPr>
        <w:spacing w:after="0" w:line="80" w:lineRule="exact"/>
        <w:rPr>
          <w:sz w:val="20"/>
          <w:szCs w:val="20"/>
          <w:color w:val="auto"/>
        </w:rPr>
      </w:pPr>
    </w:p>
    <w:p>
      <w:pPr>
        <w:ind w:firstLine="987"/>
        <w:spacing w:after="0" w:line="252" w:lineRule="auto"/>
        <w:tabs>
          <w:tab w:leader="none" w:pos="1256"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Enforcement. </w:t>
      </w:r>
      <w:r>
        <w:rPr>
          <w:rFonts w:ascii="Times New Roman" w:cs="Times New Roman" w:eastAsia="Times New Roman" w:hAnsi="Times New Roman"/>
          <w:sz w:val="18"/>
          <w:szCs w:val="18"/>
          <w:color w:val="auto"/>
        </w:rPr>
        <w:t>Without the necessity of entering into an express contract, all rights to indemnification and advances to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under this Section 46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advances granted by this Section 46 to a current or former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for the corporation to indemnify the claimant for the amount claimed. In connection with any claim by a current or former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had reasonable cause to believe that his or her conduct was unlawful.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current or former director or executive officer to enforce a right to indemnification or to an advancement of expenses hereunder, the burden of proving that the director or executive officer is not entitled to be indemnified, or to such advancement of expenses, under this Section 46 or otherwise shall be on the corporation.</w:t>
      </w:r>
    </w:p>
    <w:p>
      <w:pPr>
        <w:spacing w:after="0" w:line="79" w:lineRule="exact"/>
        <w:rPr>
          <w:rFonts w:ascii="Times New Roman" w:cs="Times New Roman" w:eastAsia="Times New Roman" w:hAnsi="Times New Roman"/>
          <w:sz w:val="18"/>
          <w:szCs w:val="18"/>
          <w:b w:val="1"/>
          <w:bCs w:val="1"/>
          <w:color w:val="auto"/>
        </w:rPr>
      </w:pPr>
    </w:p>
    <w:p>
      <w:pPr>
        <w:ind w:firstLine="987"/>
        <w:spacing w:after="0" w:line="259" w:lineRule="auto"/>
        <w:tabs>
          <w:tab w:leader="none" w:pos="1236"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Non-Exclusivity of Rights. </w:t>
      </w:r>
      <w:r>
        <w:rPr>
          <w:rFonts w:ascii="Times New Roman" w:cs="Times New Roman" w:eastAsia="Times New Roman" w:hAnsi="Times New Roman"/>
          <w:sz w:val="18"/>
          <w:szCs w:val="18"/>
          <w:color w:val="auto"/>
        </w:rPr>
        <w:t>The rights conferred on any person by this</w:t>
      </w:r>
      <w:r>
        <w:rPr>
          <w:rFonts w:ascii="Times New Roman" w:cs="Times New Roman" w:eastAsia="Times New Roman" w:hAnsi="Times New Roman"/>
          <w:sz w:val="18"/>
          <w:szCs w:val="18"/>
          <w:b w:val="1"/>
          <w:bCs w:val="1"/>
          <w:color w:val="auto"/>
        </w:rPr>
        <w:t xml:space="preserve"> Section 46 </w:t>
      </w:r>
      <w:r>
        <w:rPr>
          <w:rFonts w:ascii="Times New Roman" w:cs="Times New Roman" w:eastAsia="Times New Roman" w:hAnsi="Times New Roman"/>
          <w:sz w:val="18"/>
          <w:szCs w:val="18"/>
          <w:color w:val="auto"/>
        </w:rPr>
        <w:t>shall not be exclusive of any other right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1" w:name="page32"/>
    <w:bookmarkEnd w:id="31"/>
    <w:p>
      <w:pPr>
        <w:ind w:left="-20" w:right="320" w:firstLine="987"/>
        <w:spacing w:after="0" w:line="286" w:lineRule="auto"/>
        <w:tabs>
          <w:tab w:leader="none" w:pos="119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Survival of Rights. </w:t>
      </w:r>
      <w:r>
        <w:rPr>
          <w:rFonts w:ascii="Times New Roman" w:cs="Times New Roman" w:eastAsia="Times New Roman" w:hAnsi="Times New Roman"/>
          <w:sz w:val="18"/>
          <w:szCs w:val="18"/>
          <w:color w:val="auto"/>
        </w:rPr>
        <w:t>The rights conferred on any person by this Bylaw shall continue as to a person who has ceased to be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officer, employee or other agent and shall inure to the benefit of the heirs, executors and administrators of such a person.</w:t>
      </w:r>
    </w:p>
    <w:p>
      <w:pPr>
        <w:spacing w:after="0" w:line="46" w:lineRule="exact"/>
        <w:rPr>
          <w:rFonts w:ascii="Times New Roman" w:cs="Times New Roman" w:eastAsia="Times New Roman" w:hAnsi="Times New Roman"/>
          <w:sz w:val="18"/>
          <w:szCs w:val="18"/>
          <w:b w:val="1"/>
          <w:bCs w:val="1"/>
          <w:color w:val="auto"/>
        </w:rPr>
      </w:pPr>
    </w:p>
    <w:p>
      <w:pPr>
        <w:ind w:left="-20" w:firstLine="987"/>
        <w:spacing w:after="0" w:line="286" w:lineRule="auto"/>
        <w:tabs>
          <w:tab w:leader="none" w:pos="122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To the fullest extent permitted by the DGCL, the corporation may purchase and maintain insurance on behalf of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or permitted to be indemnified pursuant to this Section 46.</w:t>
      </w:r>
    </w:p>
    <w:p>
      <w:pPr>
        <w:spacing w:after="0" w:line="46" w:lineRule="exact"/>
        <w:rPr>
          <w:rFonts w:ascii="Times New Roman" w:cs="Times New Roman" w:eastAsia="Times New Roman" w:hAnsi="Times New Roman"/>
          <w:sz w:val="18"/>
          <w:szCs w:val="18"/>
          <w:b w:val="1"/>
          <w:bCs w:val="1"/>
          <w:color w:val="auto"/>
        </w:rPr>
      </w:pPr>
    </w:p>
    <w:p>
      <w:pPr>
        <w:ind w:left="-20" w:right="260" w:firstLine="987"/>
        <w:spacing w:after="0" w:line="268" w:lineRule="auto"/>
        <w:tabs>
          <w:tab w:leader="none" w:pos="123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Any repeal or modification of this Section 46 shall only be prospective and shall not affect the rights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46 as in effect at the time of the alleged occurrence of any action or omission to act that is the cause of any Proceeding against any current or former director or executive officer of the corporation.</w:t>
      </w:r>
    </w:p>
    <w:p>
      <w:pPr>
        <w:spacing w:after="0" w:line="62" w:lineRule="exact"/>
        <w:rPr>
          <w:rFonts w:ascii="Times New Roman" w:cs="Times New Roman" w:eastAsia="Times New Roman" w:hAnsi="Times New Roman"/>
          <w:sz w:val="18"/>
          <w:szCs w:val="18"/>
          <w:b w:val="1"/>
          <w:bCs w:val="1"/>
          <w:color w:val="auto"/>
        </w:rPr>
      </w:pPr>
    </w:p>
    <w:p>
      <w:pPr>
        <w:ind w:left="-20" w:right="40" w:firstLine="987"/>
        <w:spacing w:after="0" w:line="262" w:lineRule="auto"/>
        <w:tabs>
          <w:tab w:leader="none" w:pos="118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Saving Clause. </w:t>
      </w:r>
      <w:r>
        <w:rPr>
          <w:rFonts w:ascii="Times New Roman" w:cs="Times New Roman" w:eastAsia="Times New Roman" w:hAnsi="Times New Roman"/>
          <w:sz w:val="18"/>
          <w:szCs w:val="18"/>
          <w:color w:val="auto"/>
        </w:rPr>
        <w:t>If this Article XI or any portion hereof shall be invalidated on any ground by any court of competent jurisdiction,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nevertheless indemnify each director and executive officer to the full extent not prohibited by any applicable portion of this Article XI that shall not have been invalidated. If this Article XI shall be invalid due to the application of the indemnification provisions of another jurisdiction, then the corporation shall indemnify each director and executive officer to the full extent under any other applicable law.</w:t>
      </w:r>
    </w:p>
    <w:p>
      <w:pPr>
        <w:spacing w:after="0" w:line="68" w:lineRule="exact"/>
        <w:rPr>
          <w:rFonts w:ascii="Times New Roman" w:cs="Times New Roman" w:eastAsia="Times New Roman" w:hAnsi="Times New Roman"/>
          <w:sz w:val="18"/>
          <w:szCs w:val="18"/>
          <w:b w:val="1"/>
          <w:bCs w:val="1"/>
          <w:color w:val="auto"/>
        </w:rPr>
      </w:pPr>
    </w:p>
    <w:p>
      <w:pPr>
        <w:ind w:left="-20" w:right="100" w:firstLine="987"/>
        <w:spacing w:after="0" w:line="286" w:lineRule="auto"/>
        <w:tabs>
          <w:tab w:leader="none" w:pos="1196"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Definitions and Construction of Terms. </w:t>
      </w:r>
      <w:r>
        <w:rPr>
          <w:rFonts w:ascii="Times New Roman" w:cs="Times New Roman" w:eastAsia="Times New Roman" w:hAnsi="Times New Roman"/>
          <w:sz w:val="18"/>
          <w:szCs w:val="18"/>
          <w:color w:val="auto"/>
        </w:rPr>
        <w:t>For the purposes of Article XI of the Bylaws, the following definitions and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shall apply:</w:t>
      </w:r>
    </w:p>
    <w:p>
      <w:pPr>
        <w:spacing w:after="0" w:line="46" w:lineRule="exact"/>
        <w:rPr>
          <w:rFonts w:ascii="Times New Roman" w:cs="Times New Roman" w:eastAsia="Times New Roman" w:hAnsi="Times New Roman"/>
          <w:sz w:val="18"/>
          <w:szCs w:val="18"/>
          <w:b w:val="1"/>
          <w:bCs w:val="1"/>
          <w:color w:val="auto"/>
        </w:rPr>
      </w:pPr>
    </w:p>
    <w:p>
      <w:pPr>
        <w:ind w:left="-20" w:right="740" w:firstLine="1428"/>
        <w:spacing w:after="0" w:line="268" w:lineRule="auto"/>
        <w:tabs>
          <w:tab w:leader="none" w:pos="1627"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62" w:lineRule="exact"/>
        <w:rPr>
          <w:rFonts w:ascii="Times New Roman" w:cs="Times New Roman" w:eastAsia="Times New Roman" w:hAnsi="Times New Roman"/>
          <w:sz w:val="18"/>
          <w:szCs w:val="18"/>
          <w:b w:val="1"/>
          <w:bCs w:val="1"/>
          <w:color w:val="auto"/>
        </w:rPr>
      </w:pPr>
    </w:p>
    <w:p>
      <w:pPr>
        <w:ind w:left="-20" w:right="160" w:firstLine="1428"/>
        <w:spacing w:after="0" w:line="317" w:lineRule="auto"/>
        <w:tabs>
          <w:tab w:leader="none" w:pos="1677" w:val="left"/>
        </w:tabs>
        <w:numPr>
          <w:ilvl w:val="1"/>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expenses</w:t>
      </w:r>
      <w:r>
        <w:rPr>
          <w:rFonts w:ascii="Times New Roman" w:cs="Times New Roman" w:eastAsia="Times New Roman" w:hAnsi="Times New Roman"/>
          <w:sz w:val="17"/>
          <w:szCs w:val="17"/>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23" w:lineRule="exact"/>
        <w:rPr>
          <w:rFonts w:ascii="Times New Roman" w:cs="Times New Roman" w:eastAsia="Times New Roman" w:hAnsi="Times New Roman"/>
          <w:sz w:val="17"/>
          <w:szCs w:val="17"/>
          <w:b w:val="1"/>
          <w:bCs w:val="1"/>
          <w:color w:val="auto"/>
        </w:rPr>
      </w:pPr>
    </w:p>
    <w:p>
      <w:pPr>
        <w:ind w:left="-20" w:firstLine="1428"/>
        <w:spacing w:after="0" w:line="257" w:lineRule="auto"/>
        <w:tabs>
          <w:tab w:leader="none" w:pos="1727"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46 with respect to the resulting or surviving corporation as such person would have with respect to such constituent corporation if its separate existence had continued.</w:t>
      </w:r>
    </w:p>
    <w:p>
      <w:pPr>
        <w:spacing w:after="0" w:line="74" w:lineRule="exact"/>
        <w:rPr>
          <w:rFonts w:ascii="Times New Roman" w:cs="Times New Roman" w:eastAsia="Times New Roman" w:hAnsi="Times New Roman"/>
          <w:sz w:val="18"/>
          <w:szCs w:val="18"/>
          <w:b w:val="1"/>
          <w:bCs w:val="1"/>
          <w:color w:val="auto"/>
        </w:rPr>
      </w:pPr>
    </w:p>
    <w:p>
      <w:pPr>
        <w:ind w:left="-20" w:right="80" w:firstLine="1428"/>
        <w:spacing w:after="0" w:line="268" w:lineRule="auto"/>
        <w:tabs>
          <w:tab w:leader="none" w:pos="1717"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of the corporation shall include, without limitation, situations where such person, while serving the corporation in such capacity, is also serving at the request of the corporation as, respectively, a director, executive officer, officer, employee, trustee or agent of another corporation, partnership, joint venture, trust or other enterprise.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60" w:top="266" w:right="479" w:bottom="1440" w:gutter="0" w:footer="0" w:header="0"/>
        </w:sectPr>
      </w:pPr>
    </w:p>
    <w:bookmarkStart w:id="32" w:name="page33"/>
    <w:bookmarkEnd w:id="32"/>
    <w:p>
      <w:pPr>
        <w:ind w:right="20" w:firstLine="1428"/>
        <w:spacing w:after="0" w:line="257" w:lineRule="auto"/>
        <w:tabs>
          <w:tab w:leader="none" w:pos="1687"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References to “</w:t>
      </w:r>
      <w:r>
        <w:rPr>
          <w:rFonts w:ascii="Times New Roman" w:cs="Times New Roman" w:eastAsia="Times New Roman" w:hAnsi="Times New Roman"/>
          <w:sz w:val="18"/>
          <w:szCs w:val="18"/>
          <w:b w:val="1"/>
          <w:bCs w:val="1"/>
          <w:i w:val="1"/>
          <w:iCs w:val="1"/>
          <w:color w:val="auto"/>
        </w:rPr>
        <w:t>Another Enterprise</w:t>
      </w:r>
      <w:r>
        <w:rPr>
          <w:rFonts w:ascii="Times New Roman" w:cs="Times New Roman" w:eastAsia="Times New Roman" w:hAnsi="Times New Roman"/>
          <w:sz w:val="18"/>
          <w:szCs w:val="18"/>
          <w:color w:val="auto"/>
        </w:rPr>
        <w:t>”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 46.</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47. 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87"/>
        <w:spacing w:after="0" w:line="262" w:lineRule="auto"/>
        <w:tabs>
          <w:tab w:leader="none" w:pos="124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Stockholders. </w:t>
      </w:r>
      <w:r>
        <w:rPr>
          <w:rFonts w:ascii="Times New Roman" w:cs="Times New Roman" w:eastAsia="Times New Roman" w:hAnsi="Times New Roman"/>
          <w:sz w:val="18"/>
          <w:szCs w:val="18"/>
          <w:color w:val="auto"/>
        </w:rPr>
        <w:t>Notice to stockholders of stockholder meetings shall be given as provided in Section 7. Without limiting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by which notice may otherwise be given effectively to stockholders under any agreement or contract with such stockholder, and except as otherwise required by applicable law, written notice to stockholders for purposes other than stockholder meetings may be sent by U.S. mail or courier service, or by facsimile, electronic mail or other means of electronic transmission.</w:t>
      </w:r>
    </w:p>
    <w:p>
      <w:pPr>
        <w:spacing w:after="0" w:line="68" w:lineRule="exact"/>
        <w:rPr>
          <w:rFonts w:ascii="Times New Roman" w:cs="Times New Roman" w:eastAsia="Times New Roman" w:hAnsi="Times New Roman"/>
          <w:sz w:val="18"/>
          <w:szCs w:val="18"/>
          <w:b w:val="1"/>
          <w:bCs w:val="1"/>
          <w:color w:val="auto"/>
        </w:rPr>
      </w:pPr>
    </w:p>
    <w:p>
      <w:pPr>
        <w:jc w:val="both"/>
        <w:ind w:right="60" w:firstLine="987"/>
        <w:spacing w:after="0" w:line="291" w:lineRule="auto"/>
        <w:tabs>
          <w:tab w:leader="none" w:pos="1256"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Notice to Directors. </w:t>
      </w:r>
      <w:r>
        <w:rPr>
          <w:rFonts w:ascii="Times New Roman" w:cs="Times New Roman" w:eastAsia="Times New Roman" w:hAnsi="Times New Roman"/>
          <w:sz w:val="17"/>
          <w:szCs w:val="17"/>
          <w:color w:val="auto"/>
        </w:rPr>
        <w:t>Any notice required to be given to any director may be given by the method stated in subsection (a), as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provided in these Bylaws, with notice other than one which is delivered personally to be sent to such address or electronic mail address as such director shall have filed in writing with the Secretary, or, in the absence of such filing, to the last known address or electronic mail address of such director.</w:t>
      </w:r>
    </w:p>
    <w:p>
      <w:pPr>
        <w:spacing w:after="0" w:line="44" w:lineRule="exact"/>
        <w:rPr>
          <w:rFonts w:ascii="Times New Roman" w:cs="Times New Roman" w:eastAsia="Times New Roman" w:hAnsi="Times New Roman"/>
          <w:sz w:val="17"/>
          <w:szCs w:val="17"/>
          <w:b w:val="1"/>
          <w:bCs w:val="1"/>
          <w:color w:val="auto"/>
        </w:rPr>
      </w:pPr>
    </w:p>
    <w:p>
      <w:pPr>
        <w:ind w:firstLine="987"/>
        <w:spacing w:after="0" w:line="262" w:lineRule="auto"/>
        <w:tabs>
          <w:tab w:leader="none" w:pos="123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Affidavit of Notice. </w:t>
      </w:r>
      <w:r>
        <w:rPr>
          <w:rFonts w:ascii="Times New Roman" w:cs="Times New Roman" w:eastAsia="Times New Roman" w:hAnsi="Times New Roman"/>
          <w:sz w:val="18"/>
          <w:szCs w:val="18"/>
          <w:color w:val="auto"/>
        </w:rPr>
        <w:t>An affidavit of notice, executed by a duly authorized and competent employee of the corporation or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68" w:lineRule="exact"/>
        <w:rPr>
          <w:rFonts w:ascii="Times New Roman" w:cs="Times New Roman" w:eastAsia="Times New Roman" w:hAnsi="Times New Roman"/>
          <w:sz w:val="18"/>
          <w:szCs w:val="18"/>
          <w:b w:val="1"/>
          <w:bCs w:val="1"/>
          <w:color w:val="auto"/>
        </w:rPr>
      </w:pPr>
    </w:p>
    <w:p>
      <w:pPr>
        <w:ind w:right="100" w:firstLine="987"/>
        <w:spacing w:after="0" w:line="268" w:lineRule="auto"/>
        <w:tabs>
          <w:tab w:leader="none" w:pos="125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Methods of Notice. </w:t>
      </w:r>
      <w:r>
        <w:rPr>
          <w:rFonts w:ascii="Times New Roman" w:cs="Times New Roman" w:eastAsia="Times New Roman" w:hAnsi="Times New Roman"/>
          <w:sz w:val="18"/>
          <w:szCs w:val="18"/>
          <w:color w:val="auto"/>
        </w:rPr>
        <w:t>It shall not be necessary that the same method of giving notice be employed in respect of all recipients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one permissible method may be employed in respect of any one or more, and any other permissible method or methods may be employed in respect of any other or others.</w:t>
      </w:r>
    </w:p>
    <w:p>
      <w:pPr>
        <w:spacing w:after="0" w:line="62" w:lineRule="exact"/>
        <w:rPr>
          <w:rFonts w:ascii="Times New Roman" w:cs="Times New Roman" w:eastAsia="Times New Roman" w:hAnsi="Times New Roman"/>
          <w:sz w:val="18"/>
          <w:szCs w:val="18"/>
          <w:b w:val="1"/>
          <w:bCs w:val="1"/>
          <w:color w:val="auto"/>
        </w:rPr>
      </w:pPr>
    </w:p>
    <w:p>
      <w:pPr>
        <w:ind w:right="120" w:firstLine="987"/>
        <w:spacing w:after="0" w:line="256" w:lineRule="auto"/>
        <w:tabs>
          <w:tab w:leader="none" w:pos="123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Person with Whom Communication is Unlawful. </w:t>
      </w:r>
      <w:r>
        <w:rPr>
          <w:rFonts w:ascii="Times New Roman" w:cs="Times New Roman" w:eastAsia="Times New Roman" w:hAnsi="Times New Roman"/>
          <w:sz w:val="18"/>
          <w:szCs w:val="18"/>
          <w:color w:val="auto"/>
        </w:rPr>
        <w:t>Whenever notice is required to be given, under applicable law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74" w:lineRule="exact"/>
        <w:rPr>
          <w:rFonts w:ascii="Times New Roman" w:cs="Times New Roman" w:eastAsia="Times New Roman" w:hAnsi="Times New Roman"/>
          <w:sz w:val="18"/>
          <w:szCs w:val="18"/>
          <w:b w:val="1"/>
          <w:bCs w:val="1"/>
          <w:color w:val="auto"/>
        </w:rPr>
      </w:pPr>
    </w:p>
    <w:p>
      <w:pPr>
        <w:ind w:right="60" w:firstLine="987"/>
        <w:spacing w:after="0" w:line="259" w:lineRule="auto"/>
        <w:tabs>
          <w:tab w:leader="none" w:pos="1216"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 to Stockholders Sharing an Address. </w:t>
      </w:r>
      <w:r>
        <w:rPr>
          <w:rFonts w:ascii="Times New Roman" w:cs="Times New Roman" w:eastAsia="Times New Roman" w:hAnsi="Times New Roman"/>
          <w:sz w:val="18"/>
          <w:szCs w:val="18"/>
          <w:color w:val="auto"/>
        </w:rPr>
        <w:t>Except as otherwise prohibited under the DGCL, any notice given under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33" w:name="page34"/>
    <w:bookmarkEnd w:id="33"/>
    <w:p>
      <w:pPr>
        <w:ind w:firstLine="987"/>
        <w:spacing w:after="0" w:line="256" w:lineRule="auto"/>
        <w:tabs>
          <w:tab w:leader="none" w:pos="124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w:t>
      </w:r>
      <w:r>
        <w:rPr>
          <w:rFonts w:ascii="Times New Roman" w:cs="Times New Roman" w:eastAsia="Times New Roman" w:hAnsi="Times New Roman"/>
          <w:sz w:val="18"/>
          <w:szCs w:val="18"/>
          <w:color w:val="auto"/>
        </w:rPr>
        <w:t>. Whenever notice is required to be given under any provision of the DGCL, the Certificate of Incorporation or these Bylaws,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 Bylaws.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48. Amendments. </w:t>
      </w:r>
      <w:r>
        <w:rPr>
          <w:rFonts w:ascii="Times New Roman" w:cs="Times New Roman" w:eastAsia="Times New Roman" w:hAnsi="Times New Roman"/>
          <w:sz w:val="18"/>
          <w:szCs w:val="18"/>
          <w:color w:val="auto"/>
        </w:rPr>
        <w:t>Subject to the limitations set forth in Section 46(h) or the provisions of the Certificate of Incorporation,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addition to any vote of the holders of any class or series of stock of the corporation required by applicable law or by the Certificate of Incorporation, such action by stockholders shall require the affirmative vote of the holders of at least 66-2/3% of the voting power of all of the then-outstanding shares of the capital stock of the corporation entitled to vote generally in the election of directors, voting together as a single class.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LOANS TO OFFICERS</w:t>
      </w:r>
    </w:p>
    <w:p>
      <w:pPr>
        <w:spacing w:after="0" w:line="22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49. Loans to Officers. </w:t>
      </w:r>
      <w:r>
        <w:rPr>
          <w:rFonts w:ascii="Times New Roman" w:cs="Times New Roman" w:eastAsia="Times New Roman" w:hAnsi="Times New Roman"/>
          <w:sz w:val="18"/>
          <w:szCs w:val="18"/>
          <w:color w:val="auto"/>
        </w:rPr>
        <w:t>Except as otherwise prohibited by applicable law, the corporation may lend money to, or guarantee any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 Bylaws shall be deemed to deny, limit or restrict the powers of guaranty or warranty of the corporation at common law or under any statute.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66" w:right="4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document have been omitted pursuant to Item 601(b)(10) of Regulation S-K and, where applicable, have been marked with “[*]” to indicate where omissions have been made. The marked information has been omitted because it is (i) not material and (ii) is the type that the registrant treats as private or confidential.]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AMENDED AND RESTATED SECURITIES PURCHASE AGREEMENT</w:t>
      </w:r>
    </w:p>
    <w:p>
      <w:pPr>
        <w:spacing w:after="0" w:line="22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THIS AMENDMENT NO. 1 TO AMENDED AND RESTATED SECURITIES PURCHASE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June 15, 2026, by and between Allbirds,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investor identified on the signature page hereto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amends that certain Amended and Restated Securities Purchase Agreement, dated as of April 19, 2026 (the “</w:t>
      </w:r>
      <w:r>
        <w:rPr>
          <w:rFonts w:ascii="Times New Roman" w:cs="Times New Roman" w:eastAsia="Times New Roman" w:hAnsi="Times New Roman"/>
          <w:sz w:val="18"/>
          <w:szCs w:val="18"/>
          <w:b w:val="1"/>
          <w:bCs w:val="1"/>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the Company and the Investor. Capitalized terms used herein but not otherwise defined herein shall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the Securities Purchase Agreement.</w:t>
      </w:r>
    </w:p>
    <w:p>
      <w:pPr>
        <w:spacing w:after="0" w:line="183" w:lineRule="exact"/>
        <w:rPr>
          <w:sz w:val="20"/>
          <w:szCs w:val="20"/>
          <w:color w:val="auto"/>
        </w:rPr>
      </w:pPr>
    </w:p>
    <w:p>
      <w:pPr>
        <w:jc w:val="both"/>
        <w:ind w:right="360" w:firstLine="440"/>
        <w:spacing w:after="0" w:line="289" w:lineRule="auto"/>
        <w:rPr>
          <w:sz w:val="20"/>
          <w:szCs w:val="20"/>
          <w:color w:val="auto"/>
        </w:rPr>
      </w:pPr>
      <w:r>
        <w:rPr>
          <w:rFonts w:ascii="Times New Roman" w:cs="Times New Roman" w:eastAsia="Times New Roman" w:hAnsi="Times New Roman"/>
          <w:sz w:val="17"/>
          <w:szCs w:val="17"/>
          <w:color w:val="auto"/>
        </w:rPr>
        <w:t>WHEREAS, the Company and the Investor desire to amend certain provisions of the Securities Purchase Agreement pursuant to Section 9(e) thereof, to, among other things, increase the aggregate principal amount of Additional Notes issuable pursuant to the Securities Purchase Agreement from $44,750,000 to $94,750,000 (such incremental additional $50 million of Additional Notes, collectively, the “</w:t>
      </w:r>
      <w:r>
        <w:rPr>
          <w:rFonts w:ascii="Times New Roman" w:cs="Times New Roman" w:eastAsia="Times New Roman" w:hAnsi="Times New Roman"/>
          <w:sz w:val="17"/>
          <w:szCs w:val="17"/>
          <w:b w:val="1"/>
          <w:bCs w:val="1"/>
          <w:color w:val="auto"/>
        </w:rPr>
        <w:t>Amendment Notes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agreements contained therein, and other good and valuable consideration, the receipt and sufficiency of which are hereby acknowledged, the Company and the Investor, intending to be legally bound, hereto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As of the Effective Time (as defined herein):</w:t>
      </w:r>
    </w:p>
    <w:p>
      <w:pPr>
        <w:spacing w:after="0" w:line="117" w:lineRule="exact"/>
        <w:rPr>
          <w:sz w:val="20"/>
          <w:szCs w:val="20"/>
          <w:color w:val="auto"/>
        </w:rPr>
      </w:pPr>
    </w:p>
    <w:p>
      <w:pPr>
        <w:ind w:left="1240" w:hanging="25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Recital D of the Securities Purchase Agreement is hereby amended by replacing the reference to “$50,000,000” with “$100,000,000”.</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Recital F of the Securities Purchase Agreement is hereby amended by replacing the reference to “$44,750,000” with “$94,750,000”.</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defined term “Transaction Documents” is hereby amended to include this Amendment.</w:t>
      </w:r>
    </w:p>
    <w:p>
      <w:pPr>
        <w:spacing w:after="0" w:line="11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 A to the Securities Purchase Agreement is hereby deleted in its entirety and replaced with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5" w:name="page36"/>
    <w:bookmarkEnd w:id="35"/>
    <w:p>
      <w:pPr>
        <w:ind w:right="560" w:firstLine="987"/>
        <w:spacing w:after="0" w:line="286"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Schedule of Buyers to the Securities Purchase Agreement is hereby deleted in its entirety and replaced with </w:t>
      </w:r>
      <w:r>
        <w:rPr>
          <w:rFonts w:ascii="Times New Roman" w:cs="Times New Roman" w:eastAsia="Times New Roman" w:hAnsi="Times New Roman"/>
          <w:sz w:val="18"/>
          <w:szCs w:val="18"/>
          <w:b w:val="1"/>
          <w:bCs w:val="1"/>
          <w:u w:val="single" w:color="auto"/>
          <w:color w:val="auto"/>
        </w:rPr>
        <w:t>Schedule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Amended and Restated Schedule of Buyers</w:t>
      </w:r>
      <w:r>
        <w:rPr>
          <w:rFonts w:ascii="Times New Roman" w:cs="Times New Roman" w:eastAsia="Times New Roman" w:hAnsi="Times New Roman"/>
          <w:sz w:val="18"/>
          <w:szCs w:val="18"/>
          <w:color w:val="auto"/>
        </w:rPr>
        <w:t>”) attached hereto.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Acknowledgement; Ratification of Obligations</w:t>
      </w:r>
      <w:r>
        <w:rPr>
          <w:rFonts w:ascii="Times New Roman" w:cs="Times New Roman" w:eastAsia="Times New Roman" w:hAnsi="Times New Roman"/>
          <w:sz w:val="18"/>
          <w:szCs w:val="18"/>
          <w:color w:val="auto"/>
        </w:rPr>
        <w:t>. The Company and the Investor hereby confirm and agree that, except as set forth in Article I above, (i) the Securities Purchase Agreement and each of the other Transaction Documents are, and shall continue to be, in full force and effect, constitute legal and binding obligations of all parties thereto in accordance with its terms and are hereby ratified and confirmed in all respects, and (ii) the execution, delivery and effectiveness of this Amendment shall not operate as an amendment of any right, power or remedy of the Company or the Investor under any Transaction Document, nor constitute an amendment of any provision of any Transaction Document. This Amendment forms an integral and inseparable part of the Securities Purchase Agreement.</w:t>
      </w:r>
    </w:p>
    <w:p>
      <w:pPr>
        <w:spacing w:after="0" w:line="187" w:lineRule="exact"/>
        <w:rPr>
          <w:sz w:val="20"/>
          <w:szCs w:val="20"/>
          <w:color w:val="auto"/>
        </w:rPr>
      </w:pPr>
    </w:p>
    <w:p>
      <w:pPr>
        <w:ind w:right="8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Additional Stockholder Approval</w:t>
      </w:r>
      <w:r>
        <w:rPr>
          <w:rFonts w:ascii="Times New Roman" w:cs="Times New Roman" w:eastAsia="Times New Roman" w:hAnsi="Times New Roman"/>
          <w:sz w:val="18"/>
          <w:szCs w:val="18"/>
          <w:color w:val="auto"/>
        </w:rPr>
        <w:t>. In addition to the stockholder approval obtained on June 3, 2026 relating to the issuance and potential issuance of securities hereunder as of that date, the Company shall provide each stockholder entitled to vote at a Stockholder Meeting, which shall be promptly called and held not later than September 30, 2026 (the “</w:t>
      </w:r>
      <w:r>
        <w:rPr>
          <w:rFonts w:ascii="Times New Roman" w:cs="Times New Roman" w:eastAsia="Times New Roman" w:hAnsi="Times New Roman"/>
          <w:sz w:val="18"/>
          <w:szCs w:val="18"/>
          <w:b w:val="1"/>
          <w:bCs w:val="1"/>
          <w:color w:val="auto"/>
        </w:rPr>
        <w:t>Additional Stockholder Meeting Deadline</w:t>
      </w:r>
      <w:r>
        <w:rPr>
          <w:rFonts w:ascii="Times New Roman" w:cs="Times New Roman" w:eastAsia="Times New Roman" w:hAnsi="Times New Roman"/>
          <w:sz w:val="18"/>
          <w:szCs w:val="18"/>
          <w:color w:val="auto"/>
        </w:rPr>
        <w:t>”), a proxy statement, in a form reasonably acceptable to the Buyers (the “</w:t>
      </w:r>
      <w:r>
        <w:rPr>
          <w:rFonts w:ascii="Times New Roman" w:cs="Times New Roman" w:eastAsia="Times New Roman" w:hAnsi="Times New Roman"/>
          <w:sz w:val="18"/>
          <w:szCs w:val="18"/>
          <w:b w:val="1"/>
          <w:bCs w:val="1"/>
          <w:color w:val="auto"/>
        </w:rPr>
        <w:t>Additional Proxy Statement</w:t>
      </w:r>
      <w:r>
        <w:rPr>
          <w:rFonts w:ascii="Times New Roman" w:cs="Times New Roman" w:eastAsia="Times New Roman" w:hAnsi="Times New Roman"/>
          <w:sz w:val="18"/>
          <w:szCs w:val="18"/>
          <w:color w:val="auto"/>
        </w:rPr>
        <w:t>”), soliciting each of the Company’s stockholder’s affirmative vote at such Stockholder Meeting for the approval of a proposal to permit the issuance of all of the Amendment Notes issuable pursuant to the Securities Purchase Agreement (as amended hereby) and all Additional Conversion Shares issuable upon conversion of the Amendment Notes, in each case, in compliance with the rules and regulations of the Principal Market (without regard to any limitations on conversion set forth in the Amendment Notes) (such affirmative approval by stockholders being referred to herein as the “</w:t>
      </w:r>
      <w:r>
        <w:rPr>
          <w:rFonts w:ascii="Times New Roman" w:cs="Times New Roman" w:eastAsia="Times New Roman" w:hAnsi="Times New Roman"/>
          <w:sz w:val="18"/>
          <w:szCs w:val="18"/>
          <w:b w:val="1"/>
          <w:bCs w:val="1"/>
          <w:color w:val="auto"/>
        </w:rPr>
        <w:t>Additional Stockholder Approval</w:t>
      </w:r>
      <w:r>
        <w:rPr>
          <w:rFonts w:ascii="Times New Roman" w:cs="Times New Roman" w:eastAsia="Times New Roman" w:hAnsi="Times New Roman"/>
          <w:sz w:val="18"/>
          <w:szCs w:val="18"/>
          <w:color w:val="auto"/>
        </w:rPr>
        <w:t>”, and the date such Additional Stockholder Approval is obtained, the “</w:t>
      </w:r>
      <w:r>
        <w:rPr>
          <w:rFonts w:ascii="Times New Roman" w:cs="Times New Roman" w:eastAsia="Times New Roman" w:hAnsi="Times New Roman"/>
          <w:sz w:val="18"/>
          <w:szCs w:val="18"/>
          <w:b w:val="1"/>
          <w:bCs w:val="1"/>
          <w:color w:val="auto"/>
        </w:rPr>
        <w:t>Additional Stockholder Approval Date</w:t>
      </w:r>
      <w:r>
        <w:rPr>
          <w:rFonts w:ascii="Times New Roman" w:cs="Times New Roman" w:eastAsia="Times New Roman" w:hAnsi="Times New Roman"/>
          <w:sz w:val="18"/>
          <w:szCs w:val="18"/>
          <w:color w:val="auto"/>
        </w:rPr>
        <w:t>”), and the Company shall use its reasonable best efforts to solicit the Additional Stockholder Approval and to cause the Board of Directors of the Company to recommend to the stockholders that they approve such proposal. The Company shall be obligated to seek to obtain the Additional Stockholder Approval by the Additional Stockholder Meeting Deadline. If, despite the Company’s reasonable best efforts the Additional Stockholder Approval is not obtained on or prior to the Additional Stockholder Meeting Deadline, the Company shall cause subsequent Stockholder Meetings to be held on or prior to the sixty (60) day anniversary of the prior Stockholder Meeting thereafter until such Additional Stockholder Approval is obtained.</w:t>
      </w:r>
    </w:p>
    <w:p>
      <w:pPr>
        <w:spacing w:after="0" w:line="19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Disclosure of Transactions and Other Material Information</w:t>
      </w:r>
      <w:r>
        <w:rPr>
          <w:rFonts w:ascii="Times New Roman" w:cs="Times New Roman" w:eastAsia="Times New Roman" w:hAnsi="Times New Roman"/>
          <w:sz w:val="18"/>
          <w:szCs w:val="18"/>
          <w:color w:val="auto"/>
        </w:rPr>
        <w:t>. The Company shall file a Current Report on Form 8-K with the SEC describing the terms of the transactions contemplated by this Amendment in the form and within the timeframe required by the Exchange Act and attaching the form of this Amendment as an exhibit to such filing (including all attachments, the “</w:t>
      </w:r>
      <w:r>
        <w:rPr>
          <w:rFonts w:ascii="Times New Roman" w:cs="Times New Roman" w:eastAsia="Times New Roman" w:hAnsi="Times New Roman"/>
          <w:sz w:val="18"/>
          <w:szCs w:val="18"/>
          <w:b w:val="1"/>
          <w:bCs w:val="1"/>
          <w:color w:val="auto"/>
        </w:rPr>
        <w:t>8-K Filing</w:t>
      </w:r>
      <w:r>
        <w:rPr>
          <w:rFonts w:ascii="Times New Roman" w:cs="Times New Roman" w:eastAsia="Times New Roman" w:hAnsi="Times New Roman"/>
          <w:sz w:val="18"/>
          <w:szCs w:val="18"/>
          <w:color w:val="auto"/>
        </w:rPr>
        <w:t>”). From and after the filing of the 8-K Filing with the SEC, the Investor shall not be in possession of any material, nonpublic information received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the Company, any of its Subsidiaries or any of their respective officers, directors, employees or agents, that is not disclosed in the 8-K Filing. In addition, upon the filing of the 8-K Filing, the Company acknowledges and agrees that any and all confidentiality or similar obligations under any agreement with respect to the transactions contemplated hereby or as otherwise disclosed in the 8-K Filing, whether written or oral, between the Company, any of its Subsidiaries or any of their respective officers, directors, affiliates, employees or agents, on the one hand, and the Investor or any of its affiliates, on the other hand, shall terminate. Neither the Company, its Subsidiaries nor the Investor shall issue any press releases or any other public statements with respect to the transactions contemplated hereby; provided, however, the Company shall be entitled, without the prior approval of the Investor, to issue a press release or make such other public disclosure with respect to such transactions (i) in substantial conformity with the 8-K Filing and contemporaneously therewith or (ii) as is required by applicable law and regulations (provided that in the case of clause (i) the Investor shall be consulted by the Company in connection with any such press release or other public disclosure prior to its release). Without the prior written consent of the Investor (which may be granted or withheld in the Investor’s sole discretion), except as required by applicable law and in any Registration Statement, the Company shall not (and shall cause each of its Subsidiaries and affiliates to not) disclose the name of the Investor in any filing, announcement, release or otherwise.</w:t>
      </w:r>
    </w:p>
    <w:p>
      <w:pPr>
        <w:spacing w:after="0" w:line="19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Independent Nature of Investor’s Obligations and Rights</w:t>
      </w:r>
      <w:r>
        <w:rPr>
          <w:rFonts w:ascii="Times New Roman" w:cs="Times New Roman" w:eastAsia="Times New Roman" w:hAnsi="Times New Roman"/>
          <w:sz w:val="18"/>
          <w:szCs w:val="18"/>
          <w:color w:val="auto"/>
        </w:rPr>
        <w:t>. The obligations of the Investor under this Amendment or any other Transaction Document are several and not joint with the obligations of any other Buyer, and the Investor shall not be responsible in any way for the performance of the obligations of any other Buyer under any Transaction Document. Nothing contained herein or in any other Transaction Document, and no action taken by the Investor pursuant hereto, shall be deemed to constitute the Investor and other Buyers as a partnership, an association, a joint venture or any other kind of entity, or create a presumption that the Investor and other Buyers are in any way acting in concert or as a group with respect to such obligations or the transactions contemplated by this Amendment, or any other Transaction Document and the Company acknowledges that the Investor and the other Buyers are not acting in concert or as a group with respect to such obligations or the transactions contemplated by this Amendment, any other amendment and any other Transaction Document. The Company and the Investor confirm that the Investor has independently participated in the negotiation of the transactions contemplated hereby with the advice of its own counsel and advisors. The Investor shall be entitled to independently protect and enforce its rights, including, without limitation, the rights arising out of this Amendment, any other amendment or out of any other Transaction Documents, and it shall not be necessary for any other Buyers to be joined as an additional party in any proceeding for such purpose.</w:t>
      </w:r>
    </w:p>
    <w:p>
      <w:pPr>
        <w:spacing w:after="0" w:line="19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of this Amendment shall become effective upon the due execution and delivery by the Company and the Investor of this Amendment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As of the Effective Time, all references to the “Agreement” (including “hereof,” “herein,” “hereunder,” “hereby” and “this Agreement”) in the Securities Purchase Agreement and the other Transaction Documents shall refer to the Securities Purchase Agreement as amended by this Amendment. Notwithstanding the foregoing, references to the date of the Securities Purchase Agreement (as amended hereby) and references in the Securities Purchase Agreement to “the date hereof,” “the date of this Agreement” and terms of similar import shall in all instances continue to refer to April 19, 2026.</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37" w:name="page38"/>
    <w:bookmarkEnd w:id="3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2.7.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 9 of the Securities Purchase Agreement are hereby incorporated by reference herein, </w:t>
      </w:r>
      <w:r>
        <w:rPr>
          <w:rFonts w:ascii="Times New Roman" w:cs="Times New Roman" w:eastAsia="Times New Roman" w:hAnsi="Times New Roman"/>
          <w:sz w:val="18"/>
          <w:szCs w:val="18"/>
          <w:i w:val="1"/>
          <w:iCs w:val="1"/>
          <w:color w:val="auto"/>
        </w:rPr>
        <w:t>mutatis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15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80"/>
          </w:cols>
          <w:pgMar w:left="440" w:top="268" w:right="979" w:bottom="1440" w:gutter="0" w:footer="0" w:header="0"/>
        </w:sectPr>
      </w:pPr>
    </w:p>
    <w:bookmarkStart w:id="38" w:name="page39"/>
    <w:bookmarkEnd w:id="3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parties hereto has caused this Amendment to be executed personally or by a duly authorized representative thereof as of the day and year first written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Joe Vernachio</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Chief Executive Officer and Secretary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w:t>
      </w:r>
    </w:p>
    <w:p>
      <w:pPr>
        <w:spacing w:after="0" w:line="13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Amended and Restated Securities Purchase Agreement</w:t>
      </w:r>
    </w:p>
    <w:p>
      <w:pPr>
        <w:sectPr>
          <w:pgSz w:w="11900" w:h="16838" w:orient="portrait"/>
          <w:cols w:equalWidth="0" w:num="1">
            <w:col w:w="10960"/>
          </w:cols>
          <w:pgMar w:left="440" w:top="270" w:right="49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Buyer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br w:type="column"/>
      </w:r>
    </w:p>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-210820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CHEDULE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UYERS</w:t>
      </w:r>
    </w:p>
    <w:p>
      <w:pPr>
        <w:spacing w:after="0" w:line="263" w:lineRule="exact"/>
        <w:rPr>
          <w:sz w:val="20"/>
          <w:szCs w:val="20"/>
          <w:color w:val="auto"/>
        </w:rPr>
      </w:pPr>
    </w:p>
    <w:tbl>
      <w:tblPr>
        <w:tblLayout w:type="fixed"/>
        <w:tblInd w:w="140" w:type="dxa"/>
        <w:tblCellMar>
          <w:top w:w="0" w:type="dxa"/>
          <w:left w:w="0" w:type="dxa"/>
          <w:bottom w:w="0" w:type="dxa"/>
          <w:right w:w="0" w:type="dxa"/>
        </w:tblCellMar>
      </w:tblPr>
      <w:tr>
        <w:trPr>
          <w:trHeight w:val="173"/>
        </w:trPr>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0" w:type="dxa"/>
            <w:vAlign w:val="bottom"/>
          </w:tcPr>
          <w:p>
            <w:pPr>
              <w:spacing w:after="0"/>
              <w:rPr>
                <w:sz w:val="15"/>
                <w:szCs w:val="15"/>
                <w:color w:val="auto"/>
              </w:rPr>
            </w:pPr>
          </w:p>
        </w:tc>
        <w:tc>
          <w:tcPr>
            <w:tcW w:w="106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(6)</w:t>
            </w: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(7)</w:t>
            </w:r>
          </w:p>
        </w:tc>
        <w:tc>
          <w:tcPr>
            <w:tcW w:w="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w:t>
            </w:r>
          </w:p>
        </w:tc>
        <w:tc>
          <w:tcPr>
            <w:tcW w:w="0" w:type="dxa"/>
            <w:vAlign w:val="bottom"/>
          </w:tcPr>
          <w:p>
            <w:pPr>
              <w:spacing w:after="0"/>
              <w:rPr>
                <w:sz w:val="1"/>
                <w:szCs w:val="1"/>
                <w:color w:val="auto"/>
              </w:rPr>
            </w:pPr>
          </w:p>
        </w:tc>
      </w:tr>
      <w:tr>
        <w:trPr>
          <w:trHeight w:val="117"/>
        </w:trPr>
        <w:tc>
          <w:tcPr>
            <w:tcW w:w="5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Original</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Mailing</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Legal</w:t>
            </w:r>
          </w:p>
        </w:tc>
        <w:tc>
          <w:tcPr>
            <w:tcW w:w="0" w:type="dxa"/>
            <w:vAlign w:val="bottom"/>
          </w:tcPr>
          <w:p>
            <w:pPr>
              <w:spacing w:after="0"/>
              <w:rPr>
                <w:sz w:val="1"/>
                <w:szCs w:val="1"/>
                <w:color w:val="auto"/>
              </w:rPr>
            </w:pPr>
          </w:p>
        </w:tc>
      </w:tr>
      <w:tr>
        <w:trPr>
          <w:trHeight w:val="148"/>
        </w:trPr>
        <w:tc>
          <w:tcPr>
            <w:tcW w:w="7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Address</w:t>
            </w: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Notes for the</w:t>
            </w: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Notes for</w:t>
            </w: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Representative’s</w:t>
            </w:r>
          </w:p>
        </w:tc>
        <w:tc>
          <w:tcPr>
            <w:tcW w:w="0" w:type="dxa"/>
            <w:vAlign w:val="bottom"/>
          </w:tcPr>
          <w:p>
            <w:pPr>
              <w:spacing w:after="0"/>
              <w:rPr>
                <w:sz w:val="1"/>
                <w:szCs w:val="1"/>
                <w:color w:val="auto"/>
              </w:rPr>
            </w:pPr>
          </w:p>
        </w:tc>
      </w:tr>
      <w:tr>
        <w:trPr>
          <w:trHeight w:val="149"/>
        </w:trPr>
        <w:tc>
          <w:tcPr>
            <w:tcW w:w="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8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Mailing Address</w:t>
            </w:r>
          </w:p>
        </w:tc>
        <w:tc>
          <w:tcPr>
            <w:tcW w:w="0" w:type="dxa"/>
            <w:vAlign w:val="bottom"/>
          </w:tcPr>
          <w:p>
            <w:pPr>
              <w:spacing w:after="0"/>
              <w:rPr>
                <w:sz w:val="1"/>
                <w:szCs w:val="1"/>
                <w:color w:val="auto"/>
              </w:rPr>
            </w:pPr>
          </w:p>
        </w:tc>
      </w:tr>
      <w:tr>
        <w:trPr>
          <w:trHeight w:val="148"/>
        </w:trPr>
        <w:tc>
          <w:tcPr>
            <w:tcW w:w="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E-mail</w:t>
            </w:r>
          </w:p>
        </w:tc>
        <w:tc>
          <w:tcPr>
            <w:tcW w:w="8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Mandatory</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Optional</w:t>
            </w: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E-mail</w:t>
            </w:r>
          </w:p>
        </w:tc>
        <w:tc>
          <w:tcPr>
            <w:tcW w:w="0" w:type="dxa"/>
            <w:vAlign w:val="bottom"/>
          </w:tcPr>
          <w:p>
            <w:pPr>
              <w:spacing w:after="0"/>
              <w:rPr>
                <w:sz w:val="1"/>
                <w:szCs w:val="1"/>
                <w:color w:val="auto"/>
              </w:rPr>
            </w:pPr>
          </w:p>
        </w:tc>
      </w:tr>
      <w:tr>
        <w:trPr>
          <w:trHeight w:val="173"/>
        </w:trPr>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Closings</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w:t>
            </w:r>
          </w:p>
        </w:tc>
        <w:tc>
          <w:tcPr>
            <w:tcW w:w="0" w:type="dxa"/>
            <w:vAlign w:val="bottom"/>
          </w:tcPr>
          <w:p>
            <w:pPr>
              <w:spacing w:after="0"/>
              <w:rPr>
                <w:sz w:val="1"/>
                <w:szCs w:val="1"/>
                <w:color w:val="auto"/>
              </w:rPr>
            </w:pPr>
          </w:p>
        </w:tc>
      </w:tr>
      <w:tr>
        <w:trPr>
          <w:trHeight w:val="209"/>
        </w:trPr>
        <w:tc>
          <w:tcPr>
            <w:tcW w:w="520" w:type="dxa"/>
            <w:vAlign w:val="bottom"/>
            <w:tcBorders>
              <w:top w:val="single" w:sz="8" w:color="auto"/>
            </w:tcBorders>
          </w:tcPr>
          <w:p>
            <w:pPr>
              <w:jc w:val="right"/>
              <w:ind w:right="225"/>
              <w:spacing w:after="0"/>
              <w:rPr>
                <w:sz w:val="20"/>
                <w:szCs w:val="20"/>
                <w:color w:val="auto"/>
              </w:rPr>
            </w:pPr>
            <w:r>
              <w:rPr>
                <w:rFonts w:ascii="Times New Roman" w:cs="Times New Roman" w:eastAsia="Times New Roman" w:hAnsi="Times New Roman"/>
                <w:sz w:val="18"/>
                <w:szCs w:val="18"/>
                <w:color w:val="auto"/>
                <w:w w:val="95"/>
              </w:rPr>
              <w:t>[*]</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3,250,000</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2,000,000</w:t>
            </w:r>
          </w:p>
        </w:tc>
        <w:tc>
          <w:tcPr>
            <w:tcW w:w="2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94,750,000</w:t>
            </w: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3,087,500</w:t>
            </w:r>
          </w:p>
        </w:tc>
        <w:tc>
          <w:tcPr>
            <w:tcW w:w="2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92,512,500</w:t>
            </w:r>
          </w:p>
        </w:tc>
        <w:tc>
          <w:tcPr>
            <w:tcW w:w="260" w:type="dxa"/>
            <w:vAlign w:val="bottom"/>
          </w:tcPr>
          <w:p>
            <w:pPr>
              <w:spacing w:after="0"/>
              <w:rPr>
                <w:sz w:val="18"/>
                <w:szCs w:val="18"/>
                <w:color w:val="auto"/>
              </w:rPr>
            </w:pPr>
          </w:p>
        </w:tc>
        <w:tc>
          <w:tcPr>
            <w:tcW w:w="1040" w:type="dxa"/>
            <w:vAlign w:val="bottom"/>
            <w:tcBorders>
              <w:top w:val="single" w:sz="8" w:color="auto"/>
            </w:tcBorders>
          </w:tcPr>
          <w:p>
            <w:pPr>
              <w:jc w:val="right"/>
              <w:ind w:right="745"/>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3,250,000</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2,000,000</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94,750,000</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3,087,500</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92,512,500</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-307975</wp:posOffset>
            </wp:positionV>
            <wp:extent cx="699516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ectPr>
          <w:pgSz w:w="11900" w:h="16838" w:orient="portrait"/>
          <w:cols w:equalWidth="0" w:num="2">
            <w:col w:w="2860" w:space="720"/>
            <w:col w:w="7440"/>
          </w:cols>
          <w:pgMar w:left="440" w:top="266"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FINAL FORM</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SENIOR SECURED CONVERTIBLE NOTE]</w:t>
      </w:r>
    </w:p>
    <w:p>
      <w:pPr>
        <w:spacing w:after="0" w:line="2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3(c)(iii) AND 20(a) HEREOF. THE PRINCIPAL AMOUNT REPRESENTED BY THIS NOTE AND, ACCORDINGLY, THE SECURITIES ISSUABLE UPON CONVERSION HEREOF MAY BE LESS THAN THE AMOUNTS SET FORTH ON THE FACE HEREOF PURSUANT TO SECTION 3(c)(iii) OF THIS NOTE.</w:t>
      </w:r>
    </w:p>
    <w:p>
      <w:pPr>
        <w:spacing w:after="0" w:line="18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THIS NOTE AND THE RIGHTS AND OBLIGATIONS EVIDENCED HEREBY ARE SUBORDINATE TO THE SENIOR DEBT (AS HEREINAFTER DEFINED) IN THE MANNER AND TO THE EXTENT SET FORTH IN THAT CERTAIN SUBORDINATION AGREEMENT, DATED AS OF APRIL 19, 2026, BY AND AMONG THE HOLDER, THE COMPANY AND SECOND AVENUE CAPITAL PARTNERS LLC (THE “SUBORDINATION AGREEMENT”). THE HOLDER OF THIS INSTRUMENT, BY ITS ACCEPTANCE HEREOF, SHALL BE BOUND BY THE SUBORDINATION PROVISIONS SET FORTH IN THE SUBORDINATION AGREEMENT.</w:t>
      </w:r>
    </w:p>
    <w:p>
      <w:pPr>
        <w:spacing w:after="0" w:line="179"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THIS NOTE HAS BEEN ISSUED WITH ORIGINAL ISSUE DISCOUNT. PURSUANT TO TREASURY REGULATION §1.1275-3(b)(1), JOE VERNACHIO, A REPRESENTATIVE OF THE COMPANY HEREOF WILL, BEGINNING TEN DAYS AFTER THE ISSUANCE DATE OF THIS NOTE, PROMPTLY MAKE AVAILABLE TO THE HOLDER UPON REQUEST THE INFORMATION DESCRIBED IN TREASURY REGULATION §1.1275-3(b)(1)(i). JOE VERNACHIO MAY BE REACHED AT TELEPHONE NUMBER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LLBIRDS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ENIOR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ONVERTIBLE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OTE</w:t>
      </w:r>
    </w:p>
    <w:p>
      <w:pPr>
        <w:spacing w:after="0" w:line="25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Issuance Date: [●] 20__</w:t>
      </w:r>
      <w:r>
        <w:rPr>
          <w:sz w:val="20"/>
          <w:szCs w:val="20"/>
          <w:color w:val="auto"/>
        </w:rPr>
        <w:tab/>
      </w:r>
      <w:r>
        <w:rPr>
          <w:rFonts w:ascii="Times New Roman" w:cs="Times New Roman" w:eastAsia="Times New Roman" w:hAnsi="Times New Roman"/>
          <w:sz w:val="18"/>
          <w:szCs w:val="18"/>
          <w:color w:val="auto"/>
        </w:rPr>
        <w:t>Original Principal Amount: U.S. $[●]</w:t>
      </w:r>
    </w:p>
    <w:p>
      <w:pPr>
        <w:sectPr>
          <w:pgSz w:w="11900" w:h="16838" w:orient="portrait"/>
          <w:cols w:equalWidth="0" w:num="1">
            <w:col w:w="11020"/>
          </w:cols>
          <w:pgMar w:left="440" w:top="117" w:right="439" w:bottom="1440" w:gutter="0" w:footer="0" w:header="0"/>
        </w:sectPr>
      </w:pPr>
    </w:p>
    <w:bookmarkStart w:id="41" w:name="page42"/>
    <w:bookmarkEnd w:id="41"/>
    <w:p>
      <w:pPr>
        <w:ind w:left="4"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VALUE RECEIVED, </w:t>
      </w:r>
      <w:r>
        <w:rPr>
          <w:rFonts w:ascii="Times New Roman" w:cs="Times New Roman" w:eastAsia="Times New Roman" w:hAnsi="Times New Roman"/>
          <w:sz w:val="18"/>
          <w:szCs w:val="18"/>
          <w:color w:val="auto"/>
        </w:rPr>
        <w:t>Allbirds,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promises to pay to the order of [BUYER]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assigns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the amount set forth above as the Original Principal Amount (as reduced pursuant to the terms hereof pursuant to redemption, conversion or otherwise, the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when due, whether upon the Maturity Date, or upon acceleration, redemption or otherwise (in each case in accordance with the terms hereof) and to pay interest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on any outstanding Principal at the applicable Interest Rate (as defined below) from the date set forth above as the Issuance Date (the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 until the same becomes due and payable, whether upon the Maturity Date or upon acceleration, conversion, redemption or otherwise (in each case in accordance with the terms hereof). This Senior Secured Convertible Note (including all Senior Secured Convertible Notes issued in exchange, transfer or replacement hereof,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 one of an issue of Senior Secured Convertible Notes issued pursuant to the Securities Purchase Agreement, dated as of April 19, 2026 (the “</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by and among the Company and the investors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referred to therein, as amended from time to time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and such other Senior Secured Convertible Notes, the “</w:t>
      </w:r>
      <w:r>
        <w:rPr>
          <w:rFonts w:ascii="Times New Roman" w:cs="Times New Roman" w:eastAsia="Times New Roman" w:hAnsi="Times New Roman"/>
          <w:sz w:val="18"/>
          <w:szCs w:val="18"/>
          <w:b w:val="1"/>
          <w:bCs w:val="1"/>
          <w:color w:val="auto"/>
        </w:rPr>
        <w:t>Other Notes</w:t>
      </w:r>
      <w:r>
        <w:rPr>
          <w:rFonts w:ascii="Times New Roman" w:cs="Times New Roman" w:eastAsia="Times New Roman" w:hAnsi="Times New Roman"/>
          <w:sz w:val="18"/>
          <w:szCs w:val="18"/>
          <w:color w:val="auto"/>
        </w:rPr>
        <w:t>”). Certain capitalized terms used herein are defined in Section 33.</w:t>
      </w:r>
    </w:p>
    <w:p>
      <w:pPr>
        <w:spacing w:after="0" w:line="81" w:lineRule="exact"/>
        <w:rPr>
          <w:sz w:val="20"/>
          <w:szCs w:val="20"/>
          <w:color w:val="auto"/>
        </w:rPr>
      </w:pPr>
    </w:p>
    <w:p>
      <w:pPr>
        <w:ind w:left="4" w:right="140" w:firstLine="436"/>
        <w:spacing w:after="0" w:line="261" w:lineRule="auto"/>
        <w:tabs>
          <w:tab w:leader="none" w:pos="6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OF PRINCIPAL</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accrued and unpaid Late Charges (as defined in Section 26(c)) on such Principal and Interest. Other than as specifically permitted by this Note, the Company may not prepay any portion of the outstanding Principal, accrued and unpaid Interest or accrued and unpaid Late Charges on Principal and Interest, if any.</w:t>
      </w:r>
    </w:p>
    <w:p>
      <w:pPr>
        <w:spacing w:after="0" w:line="7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INTEREST RATE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240" w:firstLine="419"/>
        <w:spacing w:after="0" w:line="276" w:lineRule="auto"/>
        <w:tabs>
          <w:tab w:leader="none" w:pos="1112"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this Note shall commence accruing on the Issuance Date and shall be computed on the basis of a 360-day year and twelve 30-day months and shall be payable in arrears for on the first calendar day of each calendar quarter (each, an “</w:t>
      </w:r>
      <w:r>
        <w:rPr>
          <w:rFonts w:ascii="Times New Roman" w:cs="Times New Roman" w:eastAsia="Times New Roman" w:hAnsi="Times New Roman"/>
          <w:sz w:val="17"/>
          <w:szCs w:val="17"/>
          <w:b w:val="1"/>
          <w:bCs w:val="1"/>
          <w:color w:val="auto"/>
        </w:rPr>
        <w:t>Interest Date</w:t>
      </w:r>
      <w:r>
        <w:rPr>
          <w:rFonts w:ascii="Times New Roman" w:cs="Times New Roman" w:eastAsia="Times New Roman" w:hAnsi="Times New Roman"/>
          <w:sz w:val="17"/>
          <w:szCs w:val="17"/>
          <w:color w:val="auto"/>
        </w:rPr>
        <w:t>”) with the first</w:t>
      </w:r>
    </w:p>
    <w:p>
      <w:pPr>
        <w:spacing w:after="0" w:line="1" w:lineRule="exact"/>
        <w:rPr>
          <w:sz w:val="20"/>
          <w:szCs w:val="20"/>
          <w:color w:val="auto"/>
        </w:rPr>
      </w:pPr>
    </w:p>
    <w:p>
      <w:pPr>
        <w:ind w:left="444"/>
        <w:spacing w:after="0" w:line="237" w:lineRule="auto"/>
        <w:rPr>
          <w:sz w:val="20"/>
          <w:szCs w:val="20"/>
          <w:color w:val="auto"/>
        </w:rPr>
      </w:pPr>
      <w:r>
        <w:rPr>
          <w:rFonts w:ascii="Times New Roman" w:cs="Times New Roman" w:eastAsia="Times New Roman" w:hAnsi="Times New Roman"/>
          <w:sz w:val="18"/>
          <w:szCs w:val="18"/>
          <w:color w:val="auto"/>
        </w:rPr>
        <w:t>Interest Date being [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Interest shall be payable on each Interest Date, to the record holder of this Note on the applicable Interest Date, in shares of Common Stock (“</w:t>
      </w:r>
      <w:r>
        <w:rPr>
          <w:rFonts w:ascii="Times New Roman" w:cs="Times New Roman" w:eastAsia="Times New Roman" w:hAnsi="Times New Roman"/>
          <w:sz w:val="18"/>
          <w:szCs w:val="18"/>
          <w:b w:val="1"/>
          <w:bCs w:val="1"/>
          <w:color w:val="auto"/>
        </w:rPr>
        <w:t>Interest Shares</w:t>
      </w:r>
      <w:r>
        <w:rPr>
          <w:rFonts w:ascii="Times New Roman" w:cs="Times New Roman" w:eastAsia="Times New Roman" w:hAnsi="Times New Roman"/>
          <w:sz w:val="18"/>
          <w:szCs w:val="18"/>
          <w:color w:val="auto"/>
        </w:rPr>
        <w:t>”) so long as there has been no Equity Conditions Failure; provided however, that the Company may, at its option following notice to the Holder, pay Interest on any Interest Date in cash (“</w:t>
      </w:r>
      <w:r>
        <w:rPr>
          <w:rFonts w:ascii="Times New Roman" w:cs="Times New Roman" w:eastAsia="Times New Roman" w:hAnsi="Times New Roman"/>
          <w:sz w:val="18"/>
          <w:szCs w:val="18"/>
          <w:b w:val="1"/>
          <w:bCs w:val="1"/>
          <w:color w:val="auto"/>
        </w:rPr>
        <w:t>Cash Interest</w:t>
      </w:r>
      <w:r>
        <w:rPr>
          <w:rFonts w:ascii="Times New Roman" w:cs="Times New Roman" w:eastAsia="Times New Roman" w:hAnsi="Times New Roman"/>
          <w:sz w:val="18"/>
          <w:szCs w:val="18"/>
          <w:color w:val="auto"/>
        </w:rPr>
        <w:t>”) or in a combination of Cash Interest and Interest Shares. The Company shall deliver a written notice (each, an “</w:t>
      </w:r>
      <w:r>
        <w:rPr>
          <w:rFonts w:ascii="Times New Roman" w:cs="Times New Roman" w:eastAsia="Times New Roman" w:hAnsi="Times New Roman"/>
          <w:sz w:val="18"/>
          <w:szCs w:val="18"/>
          <w:b w:val="1"/>
          <w:bCs w:val="1"/>
          <w:color w:val="auto"/>
        </w:rPr>
        <w:t>Interest Election Notice</w:t>
      </w:r>
      <w:r>
        <w:rPr>
          <w:rFonts w:ascii="Times New Roman" w:cs="Times New Roman" w:eastAsia="Times New Roman" w:hAnsi="Times New Roman"/>
          <w:sz w:val="18"/>
          <w:szCs w:val="18"/>
          <w:color w:val="auto"/>
        </w:rPr>
        <w:t>”) to each holder of the Notes on or prior to the Interest Notice Due Date (the date such notice is delivered to all of the holders, the “</w:t>
      </w:r>
      <w:r>
        <w:rPr>
          <w:rFonts w:ascii="Times New Roman" w:cs="Times New Roman" w:eastAsia="Times New Roman" w:hAnsi="Times New Roman"/>
          <w:sz w:val="18"/>
          <w:szCs w:val="18"/>
          <w:b w:val="1"/>
          <w:bCs w:val="1"/>
          <w:color w:val="auto"/>
        </w:rPr>
        <w:t>Interest Notice Date</w:t>
      </w:r>
      <w:r>
        <w:rPr>
          <w:rFonts w:ascii="Times New Roman" w:cs="Times New Roman" w:eastAsia="Times New Roman" w:hAnsi="Times New Roman"/>
          <w:sz w:val="18"/>
          <w:szCs w:val="18"/>
          <w:color w:val="auto"/>
        </w:rPr>
        <w:t>”) which notice (i) either (A) confirms that Interest to be paid on such Interest Date shall be paid entirely in Interest Shares or (B) elects to pay Interest as Cash Interest or a combination of Cash Interest and Interest Shares and specifies the amount of Interest that shall be paid as Cash Interest and the amount of Interest, if any, that shall be paid in Interest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7"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in Initial Notes the three month anniversary of the Initial Closing Date</w:t>
      </w:r>
    </w:p>
    <w:p>
      <w:pPr>
        <w:spacing w:after="0" w:line="27"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in Additional Notes the first calendar day of the calendar quarter immediately following Applicable Closing Date of such Additional Note</w:t>
      </w:r>
    </w:p>
    <w:p>
      <w:pPr>
        <w:spacing w:after="0" w:line="130" w:lineRule="exact"/>
        <w:rPr>
          <w:rFonts w:ascii="Times New Roman" w:cs="Times New Roman" w:eastAsia="Times New Roman" w:hAnsi="Times New Roman"/>
          <w:sz w:val="27"/>
          <w:szCs w:val="27"/>
          <w:color w:val="auto"/>
          <w:vertAlign w:val="superscript"/>
        </w:rPr>
      </w:pPr>
    </w:p>
    <w:p>
      <w:pPr>
        <w:ind w:left="5464"/>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2</w:t>
      </w:r>
    </w:p>
    <w:p>
      <w:pPr>
        <w:sectPr>
          <w:pgSz w:w="11900" w:h="16838" w:orient="portrait"/>
          <w:cols w:equalWidth="0" w:num="1">
            <w:col w:w="10924"/>
          </w:cols>
          <w:pgMar w:left="436" w:top="266" w:right="539" w:bottom="1440" w:gutter="0" w:footer="0" w:header="0"/>
        </w:sectPr>
      </w:pPr>
    </w:p>
    <w:bookmarkStart w:id="42" w:name="page43"/>
    <w:bookmarkEnd w:id="42"/>
    <w:p>
      <w:pPr>
        <w:ind w:left="4" w:right="20" w:hanging="4"/>
        <w:spacing w:after="0" w:line="254" w:lineRule="auto"/>
        <w:tabs>
          <w:tab w:leader="none" w:pos="2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certifies that there has been no Equity Conditions Failure. If an Equity Conditions Failure has occurred as of the Interest Notice Date, then unless the Company has elected to pay such Interest as Cash Interest, the Interest Election Notice shall indicate that unless the Holder waives the Equity Conditions Failure, the Interest shall be paid as Cash Interest. Notwithstanding anything herein to the contrary, if no Equity Conditions Failure has occurred as of the Interest Notice Date but an Equity Conditions Failure occurs at any time prior to the Interest Date, (A) the Company shall provide the Holder a subsequent notice to that effect and (B) unless the Holder waives the Equity Conditions Failure, the Interest shall be paid in cash. Interest to be paid on an Interest Date in Interest Shares shall be paid in a number of fully paid and nonassessable shares (rounded to the nearest whole share in accordance with Section 3(a)) of Common Stock equal to the quotient of (1) the amount of Interest payable on such Interest Date less any Cash Interest paid and (2) the Alternate Conversion Price in effect on the applicable Interest Date.</w:t>
      </w:r>
    </w:p>
    <w:p>
      <w:pPr>
        <w:spacing w:after="0" w:line="84" w:lineRule="exact"/>
        <w:rPr>
          <w:sz w:val="20"/>
          <w:szCs w:val="20"/>
          <w:color w:val="auto"/>
        </w:rPr>
      </w:pPr>
    </w:p>
    <w:p>
      <w:pPr>
        <w:ind w:left="4" w:right="20" w:firstLine="423"/>
        <w:spacing w:after="0" w:line="254" w:lineRule="auto"/>
        <w:rPr>
          <w:sz w:val="20"/>
          <w:szCs w:val="20"/>
          <w:color w:val="auto"/>
        </w:rPr>
      </w:pPr>
      <w:r>
        <w:rPr>
          <w:rFonts w:ascii="Times New Roman" w:cs="Times New Roman" w:eastAsia="Times New Roman" w:hAnsi="Times New Roman"/>
          <w:sz w:val="18"/>
          <w:szCs w:val="18"/>
          <w:color w:val="auto"/>
        </w:rPr>
        <w:t>(b) When any Interest Shares are to be paid on an Interest Date, the Company shall (i) (A) provided that the Company’s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is participating in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Fast Automated Securities Transfer Program, credit such aggregate number of Interest Shares to which the Holder shall be entitled to the Holder’s or its designee’s balance account with DTC through its Deposit/Withdrawal at Custodian system, or (B) if the Transfer Agent is not participating in the DTC Fast Automated Securities Transfer Program (“</w:t>
      </w:r>
      <w:r>
        <w:rPr>
          <w:rFonts w:ascii="Times New Roman" w:cs="Times New Roman" w:eastAsia="Times New Roman" w:hAnsi="Times New Roman"/>
          <w:sz w:val="18"/>
          <w:szCs w:val="18"/>
          <w:b w:val="1"/>
          <w:bCs w:val="1"/>
          <w:color w:val="auto"/>
        </w:rPr>
        <w:t>FAST</w:t>
      </w:r>
      <w:r>
        <w:rPr>
          <w:rFonts w:ascii="Times New Roman" w:cs="Times New Roman" w:eastAsia="Times New Roman" w:hAnsi="Times New Roman"/>
          <w:sz w:val="18"/>
          <w:szCs w:val="18"/>
          <w:color w:val="auto"/>
        </w:rPr>
        <w:t>”), issue and deliver on the applicable Interest Date, to the address set forth in the register maintained by the Company for such purpose pursuant to the Securities Purchase Agreement or to such address as specified by the Holder in writing to the Company at least two (2) Business Days prior to the applicable Interest Date, a certificate, registered in the name of the Holder or its designee, for the number of Interest Shares to which the Holder shall be entitled and (ii) with respect to each Interest Date, pay to the Holder, in cash by wire transfer of immediately available funds, the amount of any Cash Interest.</w:t>
      </w:r>
    </w:p>
    <w:p>
      <w:pPr>
        <w:spacing w:after="0" w:line="80" w:lineRule="exact"/>
        <w:rPr>
          <w:sz w:val="20"/>
          <w:szCs w:val="20"/>
          <w:color w:val="auto"/>
        </w:rPr>
      </w:pPr>
    </w:p>
    <w:p>
      <w:pPr>
        <w:ind w:left="4" w:firstLine="419"/>
        <w:spacing w:after="0" w:line="254" w:lineRule="auto"/>
        <w:tabs>
          <w:tab w:leader="none" w:pos="6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payment of Interest on an Interest Date, Interest on this Note shall accrue at the Interest Rate and be payable by way of inclusion of the Interest in the Conversion Amount on each Conversion Date in accordance with Section 3(b)(i) or upon any redemption in accordance with Section 13 or any required payment upon any Bankruptcy Event of Default. From and after the occurrence and during the continuance of any Event of Default, the Interest Rate shall automatically be increased to seventeen percent (17.0%) per annum (the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 In the event that such Event of Default is subsequently cured (and no other Event of Default then exists, including, without limitation,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failure to pay such Interest at the Default Rate on the applicable Interest Date), the adjustment referred to in the preceding sentence shall cease to be effective as of the calendar day immediately following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70" w:right="459" w:bottom="1440" w:gutter="0" w:footer="0" w:header="0"/>
        </w:sectPr>
      </w:pPr>
    </w:p>
    <w:bookmarkStart w:id="43" w:name="page44"/>
    <w:bookmarkEnd w:id="43"/>
    <w:p>
      <w:pPr>
        <w:jc w:val="both"/>
        <w:ind w:left="4" w:right="20" w:firstLine="436"/>
        <w:spacing w:after="0" w:line="266" w:lineRule="auto"/>
        <w:tabs>
          <w:tab w:leader="none" w:pos="6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OF NOTES</w:t>
      </w:r>
      <w:r>
        <w:rPr>
          <w:rFonts w:ascii="Times New Roman" w:cs="Times New Roman" w:eastAsia="Times New Roman" w:hAnsi="Times New Roman"/>
          <w:sz w:val="18"/>
          <w:szCs w:val="18"/>
          <w:color w:val="auto"/>
        </w:rPr>
        <w:t>. At any time after the earlier of (x) the record date for the Shoe Business Sale Dividend and (y) June 15, 2026, this Note shall be convertible into validly issued, fully paid and non-assessable shares of Common Stock (as defined below), on the terms and conditions set forth in this Section 3.</w:t>
      </w:r>
    </w:p>
    <w:p>
      <w:pPr>
        <w:spacing w:after="0" w:line="67" w:lineRule="exact"/>
        <w:rPr>
          <w:rFonts w:ascii="Times New Roman" w:cs="Times New Roman" w:eastAsia="Times New Roman" w:hAnsi="Times New Roman"/>
          <w:sz w:val="18"/>
          <w:szCs w:val="18"/>
          <w:color w:val="auto"/>
        </w:rPr>
      </w:pPr>
    </w:p>
    <w:p>
      <w:pPr>
        <w:ind w:left="444" w:firstLine="419"/>
        <w:spacing w:after="0" w:line="255" w:lineRule="auto"/>
        <w:tabs>
          <w:tab w:leader="none" w:pos="111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p>
    <w:p>
      <w:pPr>
        <w:spacing w:after="0" w:line="80" w:lineRule="exact"/>
        <w:rPr>
          <w:rFonts w:ascii="Times New Roman" w:cs="Times New Roman" w:eastAsia="Times New Roman" w:hAnsi="Times New Roman"/>
          <w:sz w:val="18"/>
          <w:szCs w:val="18"/>
          <w:color w:val="auto"/>
        </w:rPr>
      </w:pPr>
    </w:p>
    <w:p>
      <w:pPr>
        <w:ind w:left="444" w:firstLine="419"/>
        <w:spacing w:after="0" w:line="282" w:lineRule="auto"/>
        <w:tabs>
          <w:tab w:leader="none" w:pos="112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number of shares of Common Stock issuable upon conversion of any Conversion Amount pursuant to Section 3(a) shall be determined by dividing (x) such Conversion Amount by (y) the Conversion Price (the “</w:t>
      </w:r>
      <w:r>
        <w:rPr>
          <w:rFonts w:ascii="Times New Roman" w:cs="Times New Roman" w:eastAsia="Times New Roman" w:hAnsi="Times New Roman"/>
          <w:sz w:val="18"/>
          <w:szCs w:val="18"/>
          <w:b w:val="1"/>
          <w:bCs w:val="1"/>
          <w:color w:val="auto"/>
        </w:rPr>
        <w:t>Conversion Rate</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764" w:right="140" w:firstLine="417"/>
        <w:spacing w:after="0" w:line="262" w:lineRule="auto"/>
        <w:tabs>
          <w:tab w:leader="none" w:pos="138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means the sum of (A) the portion of the Principal of this Note to be converted, redeemed or otherwise with respect to which this determination is being made, (B) accrued and unpaid Interest with respect to such Principal of this Note, (D) accrued and unpaid Late Charges with respect to such Principal of this Note and Interest, and (E) any other unpaid amounts pursuant to the Transaction Documents, if any.</w:t>
      </w:r>
    </w:p>
    <w:p>
      <w:pPr>
        <w:spacing w:after="0" w:line="68" w:lineRule="exact"/>
        <w:rPr>
          <w:sz w:val="20"/>
          <w:szCs w:val="20"/>
          <w:color w:val="auto"/>
        </w:rPr>
      </w:pPr>
    </w:p>
    <w:p>
      <w:pPr>
        <w:ind w:left="764" w:right="80" w:firstLine="410"/>
        <w:spacing w:after="0" w:line="215"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as of any Conversion Date or other date of determination, $[ 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subject to adjustment as provided herein.</w:t>
      </w:r>
    </w:p>
    <w:p>
      <w:pPr>
        <w:spacing w:after="0" w:line="91" w:lineRule="exact"/>
        <w:rPr>
          <w:sz w:val="20"/>
          <w:szCs w:val="20"/>
          <w:color w:val="auto"/>
        </w:rPr>
      </w:pPr>
    </w:p>
    <w:p>
      <w:pPr>
        <w:ind w:left="1104" w:hanging="241"/>
        <w:spacing w:after="0"/>
        <w:tabs>
          <w:tab w:leader="none" w:pos="11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764" w:right="100" w:firstLine="417"/>
        <w:spacing w:after="0" w:line="256" w:lineRule="auto"/>
        <w:tabs>
          <w:tab w:leader="none" w:pos="13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shares of Common Stock on any date (a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the Holder shall deliver (whether via electronic mail or otherwise), for receipt on or prior to 11:59 p.m., New York time, on such date, 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Conversion Notice</w:t>
      </w:r>
      <w:r>
        <w:rPr>
          <w:rFonts w:ascii="Times New Roman" w:cs="Times New Roman" w:eastAsia="Times New Roman" w:hAnsi="Times New Roman"/>
          <w:sz w:val="18"/>
          <w:szCs w:val="18"/>
          <w:color w:val="auto"/>
        </w:rPr>
        <w:t xml:space="preserve">”) to the Company. If required by Section 3(c)(iii),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20(b)). On the date of receipt of a Conversion Notice, the Company shall transmit by electronic mail an acknowledgment, in the form attached hereto as </w:t>
      </w:r>
      <w:r>
        <w:rPr>
          <w:rFonts w:ascii="Times New Roman" w:cs="Times New Roman" w:eastAsia="Times New Roman" w:hAnsi="Times New Roman"/>
          <w:sz w:val="18"/>
          <w:szCs w:val="18"/>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715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3" w:lineRule="exact"/>
        <w:rPr>
          <w:sz w:val="20"/>
          <w:szCs w:val="20"/>
          <w:color w:val="auto"/>
        </w:rPr>
      </w:pPr>
    </w:p>
    <w:p>
      <w:pPr>
        <w:ind w:left="424" w:hanging="424"/>
        <w:spacing w:after="0"/>
        <w:tabs>
          <w:tab w:leader="none" w:pos="424"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Notes (up to the first $50,000,000 of Original Principal Amount issued): $2.988</w:t>
      </w:r>
    </w:p>
    <w:p>
      <w:pPr>
        <w:ind w:left="424" w:hanging="424"/>
        <w:spacing w:after="0" w:line="229" w:lineRule="auto"/>
        <w:tabs>
          <w:tab w:leader="none" w:pos="424"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for all other Notes: $4.000.</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44" w:name="page45"/>
    <w:bookmarkEnd w:id="44"/>
    <w:p>
      <w:pPr>
        <w:spacing w:after="0" w:line="25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w:t>
      </w:r>
      <w:r>
        <w:rPr>
          <w:rFonts w:ascii="Times New Roman" w:cs="Times New Roman" w:eastAsia="Times New Roman" w:hAnsi="Times New Roman"/>
          <w:sz w:val="18"/>
          <w:szCs w:val="18"/>
          <w:color w:val="auto"/>
        </w:rPr>
        <w:t>, of confirmation of receipt of such Conversion Notice and representation as to whether such shares of Common Stock may then be resold pursuant to Rule 144 or an effective and available registration statement (each, an “</w:t>
      </w:r>
      <w:r>
        <w:rPr>
          <w:rFonts w:ascii="Times New Roman" w:cs="Times New Roman" w:eastAsia="Times New Roman" w:hAnsi="Times New Roman"/>
          <w:sz w:val="18"/>
          <w:szCs w:val="18"/>
          <w:b w:val="1"/>
          <w:bCs w:val="1"/>
          <w:color w:val="auto"/>
        </w:rPr>
        <w:t>Acknowledgement</w:t>
      </w:r>
      <w:r>
        <w:rPr>
          <w:rFonts w:ascii="Times New Roman" w:cs="Times New Roman" w:eastAsia="Times New Roman" w:hAnsi="Times New Roman"/>
          <w:sz w:val="18"/>
          <w:szCs w:val="18"/>
          <w:color w:val="auto"/>
        </w:rPr>
        <w:t>”) to the Holder and the Transfer Agent which confirmation shall constitute an instruction to the Transfer Agent to process such Conversion Notice in accordance with the terms herein. On or before the first (1st)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 w:cs="Times New Roman" w:eastAsia="Times New Roman" w:hAnsi="Times New Roman"/>
          <w:sz w:val="18"/>
          <w:szCs w:val="18"/>
          <w:b w:val="1"/>
          <w:bCs w:val="1"/>
          <w:color w:val="auto"/>
        </w:rPr>
        <w:t>Share Delivery Deadline</w:t>
      </w:r>
      <w:r>
        <w:rPr>
          <w:rFonts w:ascii="Times New Roman" w:cs="Times New Roman" w:eastAsia="Times New Roman" w:hAnsi="Times New Roman"/>
          <w:sz w:val="18"/>
          <w:szCs w:val="18"/>
          <w:color w:val="auto"/>
        </w:rPr>
        <w:t>”), the Company shall (1) provided that the Transfer Agent is participating in FAST,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of this Note is greater than the Principal portion of the Conversion Amount being converted, then the Company shall as soon as practicable and in no event later than one</w:t>
      </w:r>
    </w:p>
    <w:p>
      <w:pPr>
        <w:spacing w:after="0" w:line="1" w:lineRule="exact"/>
        <w:rPr>
          <w:sz w:val="20"/>
          <w:szCs w:val="20"/>
          <w:color w:val="auto"/>
        </w:rPr>
      </w:pPr>
    </w:p>
    <w:p>
      <w:pPr>
        <w:ind w:right="40" w:firstLine="7"/>
        <w:spacing w:after="0" w:line="251"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receipt of this Note and at its own expense, issue and deliver to the Holder (or its designee) a new Note (in accordance with Section 20(d)) representing the outstanding Principal not converted; provided, that during such period the Holder shall be permitted to convert such new Note regardless of the date the actual certificate evidencing such new Note is delivered to the Holder (or its designee). The Person or Persons entitled to receive the shares of Common Stock issuable upon a conversion of this Note shall be treated for all purposes as the record holder or holders of such shares of Common Stock on the Conversion Date; provided, that the Holder shall be deemed to have waived any voting rights of any such Common Stock, that may arise with respect to the period commencing on such Conversion Date, through, and including, such applicable Share Delivery Deadline (each, an “</w:t>
      </w:r>
      <w:r>
        <w:rPr>
          <w:rFonts w:ascii="Times New Roman" w:cs="Times New Roman" w:eastAsia="Times New Roman" w:hAnsi="Times New Roman"/>
          <w:sz w:val="18"/>
          <w:szCs w:val="18"/>
          <w:b w:val="1"/>
          <w:bCs w:val="1"/>
          <w:color w:val="auto"/>
        </w:rPr>
        <w:t>Conversion Period</w:t>
      </w:r>
      <w:r>
        <w:rPr>
          <w:rFonts w:ascii="Times New Roman" w:cs="Times New Roman" w:eastAsia="Times New Roman" w:hAnsi="Times New Roman"/>
          <w:sz w:val="18"/>
          <w:szCs w:val="18"/>
          <w:color w:val="auto"/>
        </w:rPr>
        <w:t>”), as necessary, such that the aggregate voting rights of any Common Stock beneficially owned by the Holder and/or any Attribution Parties, collectively, on any date of determination shall not exceed the Maximum Percentage (as defined below) as a result of any such conversion of this Note. Notwithstanding anything to the contrary contained in this Note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unlegended shares of Common Stock to the Holder (or its designee) in connection with any sale of Registrable Securities (as defined in the Registration Rights Agreement) with respect to which the Holder has entered into a contract for sale, and delivered a copy of the prospectus included as part of the particular Registration Statement to the extent applicable, and for which the Holder has not yet settled.</w:t>
      </w:r>
    </w:p>
    <w:p>
      <w:pPr>
        <w:spacing w:after="0" w:line="1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40"/>
          </w:cols>
          <w:pgMar w:left="1200" w:top="270" w:right="459" w:bottom="1440" w:gutter="0" w:footer="0" w:header="0"/>
        </w:sectPr>
      </w:pPr>
    </w:p>
    <w:bookmarkStart w:id="45" w:name="page46"/>
    <w:bookmarkEnd w:id="45"/>
    <w:p>
      <w:pPr>
        <w:ind w:firstLine="417"/>
        <w:spacing w:after="0" w:line="269" w:lineRule="auto"/>
        <w:tabs>
          <w:tab w:leader="none" w:pos="674"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Failure to Timely Convert</w:t>
      </w:r>
      <w:r>
        <w:rPr>
          <w:rFonts w:ascii="Times New Roman" w:cs="Times New Roman" w:eastAsia="Times New Roman" w:hAnsi="Times New Roman"/>
          <w:sz w:val="17"/>
          <w:szCs w:val="17"/>
          <w:color w:val="auto"/>
        </w:rPr>
        <w:t>. If the Company shall fail, for any reason or for no reason, on or prior to the applicable Share Delivery Deadline, either (I) if the Transfer Agent is not participating in FAST, to issue and deliver to the Holder (or its designee) a certificate for the number of shares of Common Stock to which the Holder is entitled and register such shares of Common Stock on the Company’s share register or, if the Transfer Agent is participating in FAST, to credit the balance account of the Holder or the Holder’s designee with DTC for such number of shares of Common Stock to which the Holder is entitled upon the Holder’s conversion of this Note (as the case may be) or</w:t>
      </w:r>
    </w:p>
    <w:p>
      <w:pPr>
        <w:spacing w:after="0" w:line="2" w:lineRule="exact"/>
        <w:rPr>
          <w:rFonts w:ascii="Times New Roman" w:cs="Times New Roman" w:eastAsia="Times New Roman" w:hAnsi="Times New Roman"/>
          <w:sz w:val="17"/>
          <w:szCs w:val="17"/>
          <w:color w:val="auto"/>
        </w:rPr>
      </w:pPr>
    </w:p>
    <w:p>
      <w:pPr>
        <w:ind w:left="300" w:hanging="293"/>
        <w:spacing w:after="0"/>
        <w:tabs>
          <w:tab w:leader="none" w:pos="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covering the resale of the shares of Common Stock that are the subject of the Conversion Notice (the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Unavailable Conversion Shares</w:t>
      </w:r>
      <w:r>
        <w:rPr>
          <w:rFonts w:ascii="Times New Roman" w:cs="Times New Roman" w:eastAsia="Times New Roman" w:hAnsi="Times New Roman"/>
          <w:sz w:val="18"/>
          <w:szCs w:val="18"/>
          <w:color w:val="auto"/>
        </w:rPr>
        <w:t>”) is not available for the resale of such Unavailable Conversion Shares and the Company fails to promptly, but in no event later than as required pursuant to the Registration Rights Agreement (x) so notify the Holder and (y) deliver the shares of Common Stock electronically without any restrictive legend by crediting such aggregate number of shares of Common Stock to which the Holder is entitled pursuant to such conversion to the Holder’s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Conversion Failure</w:t>
      </w:r>
      <w:r>
        <w:rPr>
          <w:rFonts w:ascii="Times New Roman" w:cs="Times New Roman" w:eastAsia="Times New Roman" w:hAnsi="Times New Roman"/>
          <w:sz w:val="18"/>
          <w:szCs w:val="18"/>
          <w:color w:val="auto"/>
        </w:rPr>
        <w:t>”), then, in addition to all other remedies available to the Holder, (1) the Company shall pay in cash to the Holder on each day after such Share Delivery Deadline that the issuance of such shares of Common Stock is not timely effected an amount equal to 2% of the product of (A) the sum of the number of shares of Common Stock not issued to the Holder on or prior to the Share Delivery Deadline and to which the Holder is entitled, multiplied by (B) any trading price of the Common Stock selected by the Holder in writing as in effect at any time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Share Delivery Deadline either (A) if the Transfer Agent is not participating in FAST, the Company shall fail to issue and deliver to the Holder (or its designee) a certificate and register such shares of Common Stock on the Company’s share register or, if the Transfer Agent is participating in FAST,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or (B) a Notice Failure occurs, and if on or after such Share Delivery Deadline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Conversion Failure or Notice Failure, as applicable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in addition to all other remedies available to the Holder, the Company shall, within two (2) Business Days</w:t>
      </w:r>
    </w:p>
    <w:p>
      <w:pPr>
        <w:spacing w:after="0" w:line="13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40"/>
          </w:cols>
          <w:pgMar w:left="1200" w:top="270" w:right="459" w:bottom="1440" w:gutter="0" w:footer="0" w:header="0"/>
        </w:sectPr>
      </w:pPr>
    </w:p>
    <w:bookmarkStart w:id="46" w:name="page47"/>
    <w:bookmarkEnd w:id="46"/>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receipt of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8"/>
          <w:szCs w:val="18"/>
          <w:b w:val="1"/>
          <w:bCs w:val="1"/>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(the “</w:t>
      </w:r>
      <w:r>
        <w:rPr>
          <w:rFonts w:ascii="Times New Roman" w:cs="Times New Roman" w:eastAsia="Times New Roman" w:hAnsi="Times New Roman"/>
          <w:sz w:val="18"/>
          <w:szCs w:val="18"/>
          <w:b w:val="1"/>
          <w:bCs w:val="1"/>
          <w:color w:val="auto"/>
        </w:rPr>
        <w:t>Buy-In Payment Amount</w:t>
      </w:r>
      <w:r>
        <w:rPr>
          <w:rFonts w:ascii="Times New Roman" w:cs="Times New Roman" w:eastAsia="Times New Roman" w:hAnsi="Times New Roman"/>
          <w:sz w:val="18"/>
          <w:szCs w:val="18"/>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w:t>
      </w:r>
    </w:p>
    <w:p>
      <w:pPr>
        <w:spacing w:after="0" w:line="84" w:lineRule="exact"/>
        <w:rPr>
          <w:sz w:val="20"/>
          <w:szCs w:val="20"/>
          <w:color w:val="auto"/>
        </w:rPr>
      </w:pPr>
    </w:p>
    <w:p>
      <w:pPr>
        <w:ind w:firstLine="417"/>
        <w:spacing w:after="0" w:line="253" w:lineRule="auto"/>
        <w:tabs>
          <w:tab w:leader="none" w:pos="7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The Company shall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b w:val="1"/>
          <w:bCs w:val="1"/>
          <w:color w:val="auto"/>
        </w:rPr>
        <w:t>Registered Notes</w:t>
      </w:r>
      <w:r>
        <w:rPr>
          <w:rFonts w:ascii="Times New Roman" w:cs="Times New Roman" w:eastAsia="Times New Roman" w:hAnsi="Times New Roman"/>
          <w:sz w:val="18"/>
          <w:szCs w:val="18"/>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20,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w:t>
      </w:r>
    </w:p>
    <w:p>
      <w:pPr>
        <w:spacing w:after="0" w:line="12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40"/>
          </w:cols>
          <w:pgMar w:left="1200" w:top="270" w:right="459" w:bottom="1440" w:gutter="0" w:footer="0" w:header="0"/>
        </w:sectPr>
      </w:pPr>
    </w:p>
    <w:bookmarkStart w:id="47" w:name="page48"/>
    <w:bookmarkEnd w:id="47"/>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two</w:t>
      </w:r>
    </w:p>
    <w:p>
      <w:pPr>
        <w:spacing w:after="0" w:line="3" w:lineRule="exact"/>
        <w:rPr>
          <w:sz w:val="20"/>
          <w:szCs w:val="20"/>
          <w:color w:val="auto"/>
        </w:rPr>
      </w:pPr>
    </w:p>
    <w:p>
      <w:pPr>
        <w:ind w:left="260" w:hanging="253"/>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such occurrence, then the Register shall be automatically deemed updated to reflect such occurrence.</w:t>
      </w:r>
    </w:p>
    <w:p>
      <w:pPr>
        <w:spacing w:after="0" w:line="98" w:lineRule="exact"/>
        <w:rPr>
          <w:rFonts w:ascii="Times New Roman" w:cs="Times New Roman" w:eastAsia="Times New Roman" w:hAnsi="Times New Roman"/>
          <w:sz w:val="18"/>
          <w:szCs w:val="18"/>
          <w:color w:val="auto"/>
        </w:rPr>
      </w:pPr>
    </w:p>
    <w:p>
      <w:pPr>
        <w:ind w:right="20" w:firstLine="417"/>
        <w:spacing w:after="0" w:line="255" w:lineRule="auto"/>
        <w:tabs>
          <w:tab w:leader="none" w:pos="71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Conversion; Disputes</w:t>
      </w:r>
      <w:r>
        <w:rPr>
          <w:rFonts w:ascii="Times New Roman" w:cs="Times New Roman" w:eastAsia="Times New Roman" w:hAnsi="Times New Roman"/>
          <w:sz w:val="18"/>
          <w:szCs w:val="18"/>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25.</w:t>
      </w:r>
    </w:p>
    <w:p>
      <w:pPr>
        <w:spacing w:after="0" w:line="80" w:lineRule="exact"/>
        <w:rPr>
          <w:rFonts w:ascii="Times New Roman" w:cs="Times New Roman" w:eastAsia="Times New Roman" w:hAnsi="Times New Roman"/>
          <w:sz w:val="18"/>
          <w:szCs w:val="18"/>
          <w:color w:val="auto"/>
        </w:rPr>
      </w:pPr>
    </w:p>
    <w:p>
      <w:pPr>
        <w:ind w:left="360" w:hanging="261"/>
        <w:spacing w:after="0"/>
        <w:tabs>
          <w:tab w:leader="none" w:pos="3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417"/>
        <w:spacing w:after="0" w:line="253" w:lineRule="auto"/>
        <w:tabs>
          <w:tab w:leader="none" w:pos="624"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w:t>
      </w:r>
    </w:p>
    <w:p>
      <w:pPr>
        <w:spacing w:after="0" w:line="12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20"/>
          </w:cols>
          <w:pgMar w:left="1200" w:top="270" w:right="479" w:bottom="1440" w:gutter="0" w:footer="0" w:header="0"/>
        </w:sectPr>
      </w:pPr>
    </w:p>
    <w:bookmarkStart w:id="48" w:name="page49"/>
    <w:bookmarkEnd w:id="4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on conversion or exercise analogous to the limitation contained in this Section 3(d)(i). For purposes of this Section 3(d)(i), beneficial ownership shall be calculated in accordance with Section 13(d) of the 1934 Act. For purposes of determining the number of outstanding shares of Common Stock the Holder may acquire upon the conversion of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If the Company receives a Conversion Notice from the Holder at a time when the actual number of outstanding 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3(d)(i), to exceed the Maximum Percentage, the Holder must notify the Company of a reduced number of shares of Common Stock to be purchased pursuant to such Conversion Notice. For any reason at any time, upon the written or oral request of the Holder, the Company shall within one</w:t>
      </w:r>
    </w:p>
    <w:p>
      <w:pPr>
        <w:spacing w:after="0" w:line="2" w:lineRule="exact"/>
        <w:rPr>
          <w:sz w:val="20"/>
          <w:szCs w:val="20"/>
          <w:color w:val="auto"/>
        </w:rPr>
      </w:pPr>
    </w:p>
    <w:p>
      <w:pPr>
        <w:ind w:firstLine="7"/>
        <w:spacing w:after="0" w:line="237"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Upon delivery of a written notice to the Company, the Holder may from time to time increase (with such increase not effective until the sixty-first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w:t>
      </w:r>
    </w:p>
    <w:p>
      <w:pPr>
        <w:spacing w:after="0" w:line="13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40"/>
          </w:cols>
          <w:pgMar w:left="1200" w:top="270" w:right="459" w:bottom="1440" w:gutter="0" w:footer="0" w:header="0"/>
        </w:sectPr>
      </w:pPr>
    </w:p>
    <w:bookmarkStart w:id="49" w:name="page50"/>
    <w:bookmarkEnd w:id="4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determination of convertibility. The provisions of this paragraph shall be construed and implemented in a manner otherwise than in strict conformity with the terms of this Section 3(d)(i) to the extent necessary to correct this paragraph (or any portion of this paragraph) which may be defective or inconsistent with the intended beneficial ownership limitation contained in this Section 3(d)(i) or to make changes or supplements necessary or desirable to properly give effect to such limitation. The limitation contained in this paragraph may not be waived or amended and shall apply to a successor holder of this Note.</w:t>
      </w:r>
    </w:p>
    <w:p>
      <w:pPr>
        <w:spacing w:after="0" w:line="75" w:lineRule="exact"/>
        <w:rPr>
          <w:sz w:val="20"/>
          <w:szCs w:val="20"/>
          <w:color w:val="auto"/>
        </w:rPr>
      </w:pPr>
    </w:p>
    <w:p>
      <w:pPr>
        <w:ind w:right="40" w:firstLine="417"/>
        <w:spacing w:after="0" w:line="253" w:lineRule="auto"/>
        <w:tabs>
          <w:tab w:leader="none" w:pos="67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[INSERT IN INITIAL NOTE ONLY: </w:t>
      </w: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xml:space="preserve"> The Company shall not issue any shares of Common Stock upon conversion of this Note or otherwise pursuant to the terms of this Note, if the issuance of such shares of Common Stock would exceed the aggregate number of shares of Common Stock which the Company may issue upon conversion of the Notes or otherwise pursuant to the terms of this Note (as the case may be) without breaching the Company’s obligations under the rules or regulations of the Principal Market (the number of shares which may be issued without violating such rules and regulations, including rules related to the aggregate of offerings under NASDAQ Listing Rule 5635(d), the “</w:t>
      </w:r>
      <w:r>
        <w:rPr>
          <w:rFonts w:ascii="Times New Roman" w:cs="Times New Roman" w:eastAsia="Times New Roman" w:hAnsi="Times New Roman"/>
          <w:sz w:val="18"/>
          <w:szCs w:val="18"/>
          <w:b w:val="1"/>
          <w:bCs w:val="1"/>
          <w:color w:val="auto"/>
        </w:rPr>
        <w:t>Exchange Cap</w:t>
      </w:r>
      <w:r>
        <w:rPr>
          <w:rFonts w:ascii="Times New Roman" w:cs="Times New Roman" w:eastAsia="Times New Roman" w:hAnsi="Times New Roman"/>
          <w:sz w:val="18"/>
          <w:szCs w:val="18"/>
          <w:color w:val="auto"/>
        </w:rPr>
        <w:t>”), except that such limitation shall not apply in the event that the Company</w:t>
      </w:r>
    </w:p>
    <w:p>
      <w:pPr>
        <w:spacing w:after="0" w:line="5" w:lineRule="exact"/>
        <w:rPr>
          <w:rFonts w:ascii="Times New Roman" w:cs="Times New Roman" w:eastAsia="Times New Roman" w:hAnsi="Times New Roman"/>
          <w:sz w:val="18"/>
          <w:szCs w:val="18"/>
          <w:color w:val="auto"/>
        </w:rPr>
      </w:pPr>
    </w:p>
    <w:p>
      <w:pPr>
        <w:ind w:firstLine="7"/>
        <w:spacing w:after="0" w:line="251" w:lineRule="auto"/>
        <w:tabs>
          <w:tab w:leader="none" w:pos="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the approval of its stockholders as required by the applicable rules of the Principal Market for issuances of shares of Common Stock in excess of such amount or (B) obtains a written opinion from counsel to the Company that such approval is not required, which opinion shall be reasonably satisfactory to the Holder. Until such approval or such written opinion is obtained, no Buyer shall be issued in the aggregate, upon conversion of any Notes or otherwise pursuant to the terms of the Notes, shares of Common Stock in an amount greater than the product of (i) the Exchange Cap as of the Issuance Date multiplied by (ii) the quotient of (1) the original principal amount of Notes issued to such Buyer pursuant to the Securities Purchase Agreement on the Initial Closing Date (as defined in the Securities Purchase Agreement) divided by (2) the aggregate original principal amount of all Notes issued to the Buyers pursuant to the Securities Purchase Agreement on the Initial Closing Date (with respect to each Buyer, the “</w:t>
      </w:r>
      <w:r>
        <w:rPr>
          <w:rFonts w:ascii="Times New Roman" w:cs="Times New Roman" w:eastAsia="Times New Roman" w:hAnsi="Times New Roman"/>
          <w:sz w:val="18"/>
          <w:szCs w:val="18"/>
          <w:b w:val="1"/>
          <w:bCs w:val="1"/>
          <w:color w:val="auto"/>
        </w:rPr>
        <w:t>Exchange Cap Allocation</w:t>
      </w:r>
      <w:r>
        <w:rPr>
          <w:rFonts w:ascii="Times New Roman" w:cs="Times New Roman" w:eastAsia="Times New Roman" w:hAnsi="Times New Roman"/>
          <w:sz w:val="18"/>
          <w:szCs w:val="18"/>
          <w:color w:val="auto"/>
        </w:rPr>
        <w:t>”). In the event that any Buyer shall sell or otherwise transfer any of such Buyer’s Notes, the transferee shall be allocated a pro rata portion of such Buyer’s Exchange Cap Allocation with respect to such portion of such Notes so transferred, and the restrictions of the prior sentence shall apply to such transferee with respect to the portion of the Exchange Cap Allocation so allocated to such transferee. Upon conversion in full of a holder’s Notes, the difference (if any) between such holder’s Exchange Cap Allocation and the number of shares of Common Stock actually issued to such holder upon such holder’s conversion in full of such Notes shall be allocated, to the respective Exchange Cap Allocations of the remaining holders of Notes on a pro rata basis in proportion to the shares of Common Stock underlying the Notes then held by each such holder of Notes.][INSERT IN ADDITIONAL NOTES: [Intentionally Omitted]]</w:t>
      </w:r>
    </w:p>
    <w:p>
      <w:pPr>
        <w:spacing w:after="0" w:line="1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20"/>
          </w:cols>
          <w:pgMar w:left="1200" w:top="270" w:right="479" w:bottom="1440" w:gutter="0" w:footer="0" w:header="0"/>
        </w:sectPr>
      </w:pPr>
    </w:p>
    <w:bookmarkStart w:id="50" w:name="page51"/>
    <w:bookmarkEnd w:id="50"/>
    <w:p>
      <w:pPr>
        <w:ind w:left="241" w:hanging="241"/>
        <w:spacing w:after="0"/>
        <w:tabs>
          <w:tab w:leader="none" w:pos="24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 of Alternate Conversion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1" w:hanging="223"/>
        <w:spacing w:after="0"/>
        <w:tabs>
          <w:tab w:leader="none" w:pos="54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9" w:right="40" w:firstLine="1134"/>
        <w:spacing w:after="0" w:line="261" w:lineRule="auto"/>
        <w:tabs>
          <w:tab w:leader="none" w:pos="1282"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Optional Conversion</w:t>
      </w:r>
      <w:r>
        <w:rPr>
          <w:rFonts w:ascii="Times New Roman" w:cs="Times New Roman" w:eastAsia="Times New Roman" w:hAnsi="Times New Roman"/>
          <w:sz w:val="18"/>
          <w:szCs w:val="18"/>
          <w:color w:val="auto"/>
        </w:rPr>
        <w:t>. Subject to Section 3(d), at any time, at the option of the Holder, the Holder may convert (each, an “</w:t>
      </w:r>
      <w:r>
        <w:rPr>
          <w:rFonts w:ascii="Times New Roman" w:cs="Times New Roman" w:eastAsia="Times New Roman" w:hAnsi="Times New Roman"/>
          <w:sz w:val="18"/>
          <w:szCs w:val="18"/>
          <w:b w:val="1"/>
          <w:bCs w:val="1"/>
          <w:color w:val="auto"/>
        </w:rPr>
        <w:t>Alternate Optional Conversion</w:t>
      </w:r>
      <w:r>
        <w:rPr>
          <w:rFonts w:ascii="Times New Roman" w:cs="Times New Roman" w:eastAsia="Times New Roman" w:hAnsi="Times New Roman"/>
          <w:sz w:val="18"/>
          <w:szCs w:val="18"/>
          <w:color w:val="auto"/>
        </w:rPr>
        <w:t>”, and the date of such Alternate Optional Conversion, an “</w:t>
      </w:r>
      <w:r>
        <w:rPr>
          <w:rFonts w:ascii="Times New Roman" w:cs="Times New Roman" w:eastAsia="Times New Roman" w:hAnsi="Times New Roman"/>
          <w:sz w:val="18"/>
          <w:szCs w:val="18"/>
          <w:b w:val="1"/>
          <w:bCs w:val="1"/>
          <w:color w:val="auto"/>
        </w:rPr>
        <w:t>Alternate Optional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all, or any part, of this Note into shares of Common Stock (such portion of the Conversion Amount subject to such Alternate Optional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the “</w:t>
      </w:r>
      <w:r>
        <w:rPr>
          <w:rFonts w:ascii="Times New Roman" w:cs="Times New Roman" w:eastAsia="Times New Roman" w:hAnsi="Times New Roman"/>
          <w:sz w:val="18"/>
          <w:szCs w:val="18"/>
          <w:b w:val="1"/>
          <w:bCs w:val="1"/>
          <w:color w:val="auto"/>
        </w:rPr>
        <w:t>Alternate Optional Conversion Amount</w:t>
      </w:r>
      <w:r>
        <w:rPr>
          <w:rFonts w:ascii="Times New Roman" w:cs="Times New Roman" w:eastAsia="Times New Roman" w:hAnsi="Times New Roman"/>
          <w:sz w:val="18"/>
          <w:szCs w:val="18"/>
          <w:color w:val="auto"/>
        </w:rPr>
        <w:t>”) at the Alternate Conversion Price.</w:t>
      </w:r>
    </w:p>
    <w:p>
      <w:pPr>
        <w:spacing w:after="0" w:line="71" w:lineRule="exact"/>
        <w:rPr>
          <w:rFonts w:ascii="Times New Roman" w:cs="Times New Roman" w:eastAsia="Times New Roman" w:hAnsi="Times New Roman"/>
          <w:sz w:val="18"/>
          <w:szCs w:val="18"/>
          <w:color w:val="auto"/>
        </w:rPr>
      </w:pPr>
    </w:p>
    <w:p>
      <w:pPr>
        <w:ind w:left="-99" w:firstLine="1134"/>
        <w:spacing w:after="0" w:line="254" w:lineRule="auto"/>
        <w:tabs>
          <w:tab w:leader="none" w:pos="1282"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Conversion Upon an Event of Default</w:t>
      </w:r>
      <w:r>
        <w:rPr>
          <w:rFonts w:ascii="Times New Roman" w:cs="Times New Roman" w:eastAsia="Times New Roman" w:hAnsi="Times New Roman"/>
          <w:sz w:val="18"/>
          <w:szCs w:val="18"/>
          <w:color w:val="auto"/>
        </w:rPr>
        <w:t>. Subject to Section 3(d), at any time after the occurrence of an Event of Default (regardless of whether such Event of Default has been cured, or if the Company has delivered an Event of Default Notice to the Holder or if the Holder has delivered an Event of Default Redemption Notice to the Company or otherwise notified the Company that an Event of Default has occurred), the Holder may, at the Holder’s option, convert (each, an “</w:t>
      </w:r>
      <w:r>
        <w:rPr>
          <w:rFonts w:ascii="Times New Roman" w:cs="Times New Roman" w:eastAsia="Times New Roman" w:hAnsi="Times New Roman"/>
          <w:sz w:val="18"/>
          <w:szCs w:val="18"/>
          <w:b w:val="1"/>
          <w:bCs w:val="1"/>
          <w:color w:val="auto"/>
        </w:rPr>
        <w:t>Alternate Event of Default Conversion</w:t>
      </w:r>
      <w:r>
        <w:rPr>
          <w:rFonts w:ascii="Times New Roman" w:cs="Times New Roman" w:eastAsia="Times New Roman" w:hAnsi="Times New Roman"/>
          <w:sz w:val="18"/>
          <w:szCs w:val="18"/>
          <w:color w:val="auto"/>
        </w:rPr>
        <w:t>” and together with each Alternate Optional Conversion, each, an “</w:t>
      </w:r>
      <w:r>
        <w:rPr>
          <w:rFonts w:ascii="Times New Roman" w:cs="Times New Roman" w:eastAsia="Times New Roman" w:hAnsi="Times New Roman"/>
          <w:sz w:val="18"/>
          <w:szCs w:val="18"/>
          <w:b w:val="1"/>
          <w:bCs w:val="1"/>
          <w:color w:val="auto"/>
        </w:rPr>
        <w:t>Alternate Conversion</w:t>
      </w:r>
      <w:r>
        <w:rPr>
          <w:rFonts w:ascii="Times New Roman" w:cs="Times New Roman" w:eastAsia="Times New Roman" w:hAnsi="Times New Roman"/>
          <w:sz w:val="18"/>
          <w:szCs w:val="18"/>
          <w:color w:val="auto"/>
        </w:rPr>
        <w:t>”, and the date of such Alternate Event of Default Conversion, each, an “</w:t>
      </w:r>
      <w:r>
        <w:rPr>
          <w:rFonts w:ascii="Times New Roman" w:cs="Times New Roman" w:eastAsia="Times New Roman" w:hAnsi="Times New Roman"/>
          <w:sz w:val="18"/>
          <w:szCs w:val="18"/>
          <w:b w:val="1"/>
          <w:bCs w:val="1"/>
          <w:color w:val="auto"/>
        </w:rPr>
        <w:t>Alternate Event of Default Conversion Date</w:t>
      </w:r>
      <w:r>
        <w:rPr>
          <w:rFonts w:ascii="Times New Roman" w:cs="Times New Roman" w:eastAsia="Times New Roman" w:hAnsi="Times New Roman"/>
          <w:sz w:val="18"/>
          <w:szCs w:val="18"/>
          <w:color w:val="auto"/>
        </w:rPr>
        <w:t>”, and together with each Alternate Optional Conversion Date, each, an “</w:t>
      </w:r>
      <w:r>
        <w:rPr>
          <w:rFonts w:ascii="Times New Roman" w:cs="Times New Roman" w:eastAsia="Times New Roman" w:hAnsi="Times New Roman"/>
          <w:sz w:val="18"/>
          <w:szCs w:val="18"/>
          <w:b w:val="1"/>
          <w:bCs w:val="1"/>
          <w:color w:val="auto"/>
        </w:rPr>
        <w:t>Alternate Conversion Date</w:t>
      </w:r>
      <w:r>
        <w:rPr>
          <w:rFonts w:ascii="Times New Roman" w:cs="Times New Roman" w:eastAsia="Times New Roman" w:hAnsi="Times New Roman"/>
          <w:sz w:val="18"/>
          <w:szCs w:val="18"/>
          <w:color w:val="auto"/>
        </w:rPr>
        <w:t>”) all, or any part of, the Conversion Amount (such portion of the Conversion Amount subject to such Alternate Conversion, the “</w:t>
      </w:r>
      <w:r>
        <w:rPr>
          <w:rFonts w:ascii="Times New Roman" w:cs="Times New Roman" w:eastAsia="Times New Roman" w:hAnsi="Times New Roman"/>
          <w:sz w:val="18"/>
          <w:szCs w:val="18"/>
          <w:b w:val="1"/>
          <w:bCs w:val="1"/>
          <w:color w:val="auto"/>
        </w:rPr>
        <w:t>Alternate Event of Default Conversion Amount</w:t>
      </w:r>
      <w:r>
        <w:rPr>
          <w:rFonts w:ascii="Times New Roman" w:cs="Times New Roman" w:eastAsia="Times New Roman" w:hAnsi="Times New Roman"/>
          <w:sz w:val="18"/>
          <w:szCs w:val="18"/>
          <w:color w:val="auto"/>
        </w:rPr>
        <w:t>” and together with each Alternate Optional Conversion Amount, each, an “</w:t>
      </w:r>
      <w:r>
        <w:rPr>
          <w:rFonts w:ascii="Times New Roman" w:cs="Times New Roman" w:eastAsia="Times New Roman" w:hAnsi="Times New Roman"/>
          <w:sz w:val="18"/>
          <w:szCs w:val="18"/>
          <w:b w:val="1"/>
          <w:bCs w:val="1"/>
          <w:color w:val="auto"/>
        </w:rPr>
        <w:t>Alternate Conversion Amount</w:t>
      </w:r>
      <w:r>
        <w:rPr>
          <w:rFonts w:ascii="Times New Roman" w:cs="Times New Roman" w:eastAsia="Times New Roman" w:hAnsi="Times New Roman"/>
          <w:sz w:val="18"/>
          <w:szCs w:val="18"/>
          <w:color w:val="auto"/>
        </w:rPr>
        <w:t>”) into shares of Common Stock at the Alternate Conversion Price.</w:t>
      </w:r>
    </w:p>
    <w:p>
      <w:pPr>
        <w:spacing w:after="0" w:line="80" w:lineRule="exact"/>
        <w:rPr>
          <w:rFonts w:ascii="Times New Roman" w:cs="Times New Roman" w:eastAsia="Times New Roman" w:hAnsi="Times New Roman"/>
          <w:sz w:val="18"/>
          <w:szCs w:val="18"/>
          <w:color w:val="auto"/>
        </w:rPr>
      </w:pPr>
    </w:p>
    <w:p>
      <w:pPr>
        <w:ind w:left="-99" w:right="40" w:firstLine="417"/>
        <w:spacing w:after="0" w:line="252" w:lineRule="auto"/>
        <w:tabs>
          <w:tab w:leader="none" w:pos="57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Alternate Conversion</w:t>
      </w:r>
      <w:r>
        <w:rPr>
          <w:rFonts w:ascii="Times New Roman" w:cs="Times New Roman" w:eastAsia="Times New Roman" w:hAnsi="Times New Roman"/>
          <w:sz w:val="18"/>
          <w:szCs w:val="18"/>
          <w:color w:val="auto"/>
        </w:rPr>
        <w:t>. On any Alternate Conversion Date, the Holder may voluntarily convert any Alternate Conversion Amount pursuant to Section 3(c) (with “Alternate Conversion Price” replacing “Conversion Price” for all purposes hereunder with respect to such Alternate Conversion and, solely with respect to the calculation of the number of shares of Common Stock issuable upon conversion of any Conversion Amount in an Alternate Event of Default Conversion, with “Redemption Premium of the Conversion Amount” replacing “Conversion Amount” in clause (x) of the definition of Conversion Rate above with respect to such Alternate Conversion) by designating in the Conversion Notice delivered pursuant to this Section 3(e) of this Note that the Holder is electing to use the Alternate Conversion Price for such conversion; provided that in the event of the Conversion Floor Price Condition, on the applicable Alternate Conversion Date the Company shall also deliver to the Holder the applicable Alternate Conversion Floor Amount. Notwithstanding anything to the contrary in this Section 3(e), but subject to Section 3(d), until the Company delivers shares of Common Stock representing the applicable Alternate Conversion Amount to the Holder, such Alternate Conversion Amount may be converted by the Holder into shares of Common Stock pursuant to Section 3(c) without regard to this Section 3(e). In the event of an Alternate Conversion pursuant to this Section 3(e) of all, or any portion, of this Note,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3(e), together the Alternate Conversion Price used in such Alternate Conversion, as applicable, is intended by the parties to be, and shall be deemed, a reasonable estimate of, the Holder’s actual loss of its investment opportunity and not as a penalty.</w:t>
      </w:r>
    </w:p>
    <w:p>
      <w:pPr>
        <w:spacing w:after="0" w:line="127"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141"/>
          </w:cols>
          <w:pgMar w:left="1299" w:top="270" w:right="459" w:bottom="1440" w:gutter="0" w:footer="0" w:header="0"/>
        </w:sectPr>
      </w:pPr>
    </w:p>
    <w:bookmarkStart w:id="51" w:name="page52"/>
    <w:bookmarkEnd w:id="51"/>
    <w:p>
      <w:pPr>
        <w:ind w:left="184" w:hanging="184"/>
        <w:spacing w:after="0"/>
        <w:tabs>
          <w:tab w:leader="none" w:pos="18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UPON EVENT OF DEFAULT</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4" w:right="420" w:firstLine="419"/>
        <w:spacing w:after="0" w:line="286" w:lineRule="auto"/>
        <w:tabs>
          <w:tab w:leader="none" w:pos="67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and each of the events in clauses (ix), (x) and (xi) shall constitute a “</w:t>
      </w:r>
      <w:r>
        <w:rPr>
          <w:rFonts w:ascii="Times New Roman" w:cs="Times New Roman" w:eastAsia="Times New Roman" w:hAnsi="Times New Roman"/>
          <w:sz w:val="18"/>
          <w:szCs w:val="18"/>
          <w:b w:val="1"/>
          <w:bCs w:val="1"/>
          <w:color w:val="auto"/>
        </w:rPr>
        <w:t>Bankruptcy Event of Default</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324" w:right="20" w:firstLine="929"/>
        <w:spacing w:after="0" w:line="261" w:lineRule="auto"/>
        <w:tabs>
          <w:tab w:leader="none" w:pos="14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applicable Registration Statement (as defined in the Registration Rights Agreement) to be filed with the SEC on or prior to the date that is five (5) Business Days after the applicable Filing Deadline (as defined in the Registration Rights Agreement) or the failure of the applicable Registration Statement to be declared effective by the SEC on or prior to the date that is five (5) Business Days after the applicable Effectiveness Deadline (as defined in the Registration Rights Agreement);</w:t>
      </w:r>
    </w:p>
    <w:p>
      <w:pPr>
        <w:spacing w:after="0" w:line="71" w:lineRule="exact"/>
        <w:rPr>
          <w:rFonts w:ascii="Times New Roman" w:cs="Times New Roman" w:eastAsia="Times New Roman" w:hAnsi="Times New Roman"/>
          <w:sz w:val="18"/>
          <w:szCs w:val="18"/>
          <w:color w:val="auto"/>
        </w:rPr>
      </w:pPr>
    </w:p>
    <w:p>
      <w:pPr>
        <w:ind w:left="324" w:firstLine="929"/>
        <w:spacing w:after="0" w:line="255" w:lineRule="auto"/>
        <w:tabs>
          <w:tab w:leader="none" w:pos="151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and such lapse or unavailability continues for a period of five (5) consecutive Trading Days or for more than an aggregate of ten (10) Trading Days in any 365-day period (excluding days during an Allowable Grace Period (as defined in the Registration Rights Agreement));</w:t>
      </w:r>
    </w:p>
    <w:p>
      <w:pPr>
        <w:spacing w:after="0" w:line="80" w:lineRule="exact"/>
        <w:rPr>
          <w:rFonts w:ascii="Times New Roman" w:cs="Times New Roman" w:eastAsia="Times New Roman" w:hAnsi="Times New Roman"/>
          <w:sz w:val="18"/>
          <w:szCs w:val="18"/>
          <w:color w:val="auto"/>
        </w:rPr>
      </w:pPr>
    </w:p>
    <w:p>
      <w:pPr>
        <w:ind w:left="324" w:right="420" w:firstLine="929"/>
        <w:spacing w:after="0" w:line="282" w:lineRule="auto"/>
        <w:tabs>
          <w:tab w:leader="none" w:pos="15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threatened suspension) from trading or the failure (or threatened failure) of the Common Stock to be trading or listed (as applicable) on an Eligible Market for a period of five (5) consecutive Trading Days;</w:t>
      </w:r>
    </w:p>
    <w:p>
      <w:pPr>
        <w:spacing w:after="0" w:line="53" w:lineRule="exact"/>
        <w:rPr>
          <w:rFonts w:ascii="Times New Roman" w:cs="Times New Roman" w:eastAsia="Times New Roman" w:hAnsi="Times New Roman"/>
          <w:sz w:val="18"/>
          <w:szCs w:val="18"/>
          <w:color w:val="auto"/>
        </w:rPr>
      </w:pPr>
    </w:p>
    <w:p>
      <w:pPr>
        <w:ind w:left="324" w:right="140" w:firstLine="929"/>
        <w:spacing w:after="0" w:line="258" w:lineRule="auto"/>
        <w:tabs>
          <w:tab w:leader="none" w:pos="155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cure a Conversion Failure by delivery of the required number of shares of Common Stock within five (5) Trading Days after the applicable Conversion Date or exercise date (as the case may be)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w:t>
      </w:r>
    </w:p>
    <w:p>
      <w:pPr>
        <w:spacing w:after="0" w:line="75" w:lineRule="exact"/>
        <w:rPr>
          <w:rFonts w:ascii="Times New Roman" w:cs="Times New Roman" w:eastAsia="Times New Roman" w:hAnsi="Times New Roman"/>
          <w:sz w:val="18"/>
          <w:szCs w:val="18"/>
          <w:color w:val="auto"/>
        </w:rPr>
      </w:pPr>
    </w:p>
    <w:p>
      <w:pPr>
        <w:ind w:left="324" w:right="80" w:firstLine="929"/>
        <w:spacing w:after="0" w:line="230" w:lineRule="auto"/>
        <w:tabs>
          <w:tab w:leader="none" w:pos="150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Company is in compliance with Section 12(b) below, at any time following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consecutive day that the Holder’s Authorized Share Allocation (as defined in Section 12(a) below) is less than the number of shares of Common Stock that the Holder would be entitled to receive upon a conversion of the full Conversion Amount of this Note (without regard to any limitations on conversion set forth in Section 3(d) or otherwise);</w:t>
      </w:r>
    </w:p>
    <w:p>
      <w:pPr>
        <w:spacing w:after="0" w:line="13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52" w:name="page53"/>
    <w:bookmarkEnd w:id="52"/>
    <w:p>
      <w:pPr>
        <w:ind w:left="-240" w:right="60" w:firstLine="929"/>
        <w:spacing w:after="0" w:line="256" w:lineRule="auto"/>
        <w:tabs>
          <w:tab w:leader="none" w:pos="9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Company’s or any Subsidiary’s failure to pay to the Holder any amount of Principal, Interest, Late Charges or other amounts when and as due under this Note (including, without limitation, the Company’s or any Subsidiary’s failure to pay any redemption payments or amounts hereunder) or any other Transaction Document (as defined in the Securities Purchase Agreement)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two (2) Trading Days;</w:t>
      </w:r>
    </w:p>
    <w:p>
      <w:pPr>
        <w:spacing w:after="0" w:line="79" w:lineRule="exact"/>
        <w:rPr>
          <w:rFonts w:ascii="Times New Roman" w:cs="Times New Roman" w:eastAsia="Times New Roman" w:hAnsi="Times New Roman"/>
          <w:sz w:val="18"/>
          <w:szCs w:val="18"/>
          <w:color w:val="auto"/>
        </w:rPr>
      </w:pPr>
    </w:p>
    <w:p>
      <w:pPr>
        <w:jc w:val="both"/>
        <w:ind w:left="-240" w:firstLine="929"/>
        <w:spacing w:after="0" w:line="281" w:lineRule="auto"/>
        <w:tabs>
          <w:tab w:leader="none" w:pos="1037"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fails to remove any restrictive legend on any certificate or any shares of Common Stock issued to the Holder upon conversion or exercise (as the case may be) of any Securities (as defined in the Securities Purchase Agreement) acquired by the Holder under the Securities Purchase Agreement (including this Note) as and when required by such Securities or the Securities Purchase Agreement, unless otherwise then prohibited by applicable federal securities laws, and any such failure remains uncured for at least five (5) Trading Days;</w:t>
      </w:r>
    </w:p>
    <w:p>
      <w:pPr>
        <w:spacing w:after="0" w:line="56" w:lineRule="exact"/>
        <w:rPr>
          <w:rFonts w:ascii="Times New Roman" w:cs="Times New Roman" w:eastAsia="Times New Roman" w:hAnsi="Times New Roman"/>
          <w:sz w:val="17"/>
          <w:szCs w:val="17"/>
          <w:color w:val="auto"/>
        </w:rPr>
      </w:pPr>
    </w:p>
    <w:p>
      <w:pPr>
        <w:ind w:left="-240" w:right="140" w:firstLine="929"/>
        <w:spacing w:after="0" w:line="261" w:lineRule="auto"/>
        <w:tabs>
          <w:tab w:leader="none" w:pos="10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under, redemption of or acceleration prior to maturity of at least an aggregate of (A) if on or prior to the Shoe Business Sale, $50,000 or (B) after the Shoe Business Sale, $125,000 (as applicable, the “</w:t>
      </w:r>
      <w:r>
        <w:rPr>
          <w:rFonts w:ascii="Times New Roman" w:cs="Times New Roman" w:eastAsia="Times New Roman" w:hAnsi="Times New Roman"/>
          <w:sz w:val="18"/>
          <w:szCs w:val="18"/>
          <w:b w:val="1"/>
          <w:bCs w:val="1"/>
          <w:color w:val="auto"/>
        </w:rPr>
        <w:t>Applicable Default 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Threshold</w:t>
      </w:r>
      <w:r>
        <w:rPr>
          <w:rFonts w:ascii="Times New Roman" w:cs="Times New Roman" w:eastAsia="Times New Roman" w:hAnsi="Times New Roman"/>
          <w:sz w:val="18"/>
          <w:szCs w:val="18"/>
          <w:color w:val="auto"/>
        </w:rPr>
        <w:t>”) of Indebtedness (as defined in the Securities Purchase Agreement) of the Company or any of its Subsidiaries, other than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Other Notes;</w:t>
      </w:r>
    </w:p>
    <w:p>
      <w:pPr>
        <w:spacing w:after="0" w:line="71" w:lineRule="exact"/>
        <w:rPr>
          <w:rFonts w:ascii="Times New Roman" w:cs="Times New Roman" w:eastAsia="Times New Roman" w:hAnsi="Times New Roman"/>
          <w:sz w:val="18"/>
          <w:szCs w:val="18"/>
          <w:color w:val="auto"/>
        </w:rPr>
      </w:pPr>
    </w:p>
    <w:p>
      <w:pPr>
        <w:ind w:left="-240" w:right="120" w:firstLine="929"/>
        <w:spacing w:after="0" w:line="266" w:lineRule="auto"/>
        <w:tabs>
          <w:tab w:leader="none" w:pos="9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thirty (30) days of their initiation;</w:t>
      </w:r>
    </w:p>
    <w:p>
      <w:pPr>
        <w:spacing w:after="0" w:line="67" w:lineRule="exact"/>
        <w:rPr>
          <w:rFonts w:ascii="Times New Roman" w:cs="Times New Roman" w:eastAsia="Times New Roman" w:hAnsi="Times New Roman"/>
          <w:sz w:val="18"/>
          <w:szCs w:val="18"/>
          <w:color w:val="auto"/>
        </w:rPr>
      </w:pPr>
    </w:p>
    <w:p>
      <w:pPr>
        <w:ind w:left="-240" w:firstLine="929"/>
        <w:spacing w:after="0" w:line="254" w:lineRule="auto"/>
        <w:tabs>
          <w:tab w:leader="none" w:pos="93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00"/>
          </w:cols>
          <w:pgMar w:left="1440" w:top="270" w:right="459" w:bottom="1440" w:gutter="0" w:footer="0" w:header="0"/>
        </w:sectPr>
      </w:pPr>
    </w:p>
    <w:bookmarkStart w:id="53" w:name="page54"/>
    <w:bookmarkEnd w:id="5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spacing w:after="0" w:line="72" w:lineRule="exact"/>
        <w:rPr>
          <w:sz w:val="20"/>
          <w:szCs w:val="20"/>
          <w:color w:val="auto"/>
        </w:rPr>
      </w:pPr>
    </w:p>
    <w:p>
      <w:pPr>
        <w:ind w:firstLine="929"/>
        <w:spacing w:after="0" w:line="254" w:lineRule="auto"/>
        <w:tabs>
          <w:tab w:leader="none" w:pos="122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spacing w:after="0" w:line="80" w:lineRule="exact"/>
        <w:rPr>
          <w:rFonts w:ascii="Times New Roman" w:cs="Times New Roman" w:eastAsia="Times New Roman" w:hAnsi="Times New Roman"/>
          <w:sz w:val="18"/>
          <w:szCs w:val="18"/>
          <w:color w:val="auto"/>
        </w:rPr>
      </w:pPr>
    </w:p>
    <w:p>
      <w:pPr>
        <w:ind w:right="80" w:firstLine="929"/>
        <w:spacing w:after="0" w:line="254" w:lineRule="auto"/>
        <w:tabs>
          <w:tab w:leader="none" w:pos="12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aggregating in excess of the Applicable Default Dollar Threshold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Applicable Default Dollar Threshold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83" w:lineRule="exact"/>
        <w:rPr>
          <w:rFonts w:ascii="Times New Roman" w:cs="Times New Roman" w:eastAsia="Times New Roman" w:hAnsi="Times New Roman"/>
          <w:sz w:val="18"/>
          <w:szCs w:val="18"/>
          <w:color w:val="auto"/>
        </w:rPr>
      </w:pPr>
    </w:p>
    <w:p>
      <w:pPr>
        <w:ind w:right="40" w:firstLine="929"/>
        <w:spacing w:after="0" w:line="274" w:lineRule="auto"/>
        <w:tabs>
          <w:tab w:leader="none" w:pos="132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and/or any Subsidiary, individually or in the aggregate, fails to pay, when due, or within any applicable grace period, any payment with respect to any Indebtedness in excess of the Applicable Default Dollar Threshold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the Applicable Default Dollar Threshold, which breach or violation permits the other party thereto to declare a default or otherwise accelerate amounts due thereunder;</w:t>
      </w:r>
    </w:p>
    <w:p>
      <w:pPr>
        <w:spacing w:after="0" w:line="10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40"/>
          </w:cols>
          <w:pgMar w:left="1200" w:top="270" w:right="459" w:bottom="1440" w:gutter="0" w:footer="0" w:header="0"/>
        </w:sectPr>
      </w:pPr>
    </w:p>
    <w:bookmarkStart w:id="54" w:name="page55"/>
    <w:bookmarkEnd w:id="54"/>
    <w:p>
      <w:pPr>
        <w:jc w:val="both"/>
        <w:ind w:right="280" w:firstLine="929"/>
        <w:spacing w:after="0" w:line="266" w:lineRule="auto"/>
        <w:tabs>
          <w:tab w:leader="none" w:pos="13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as specifically set forth in another clause of this Section 4(a), the Company or any Subsidiary breaches any representation or warranty, or any covenant or other term or condition of any Transaction Document, except, in the case of a breach of a covenant or other term or condition that is curable, only if such breach remains uncured for a period of two (2) consecutive Trading Days;</w:t>
      </w:r>
    </w:p>
    <w:p>
      <w:pPr>
        <w:spacing w:after="0" w:line="67" w:lineRule="exact"/>
        <w:rPr>
          <w:rFonts w:ascii="Times New Roman" w:cs="Times New Roman" w:eastAsia="Times New Roman" w:hAnsi="Times New Roman"/>
          <w:sz w:val="18"/>
          <w:szCs w:val="18"/>
          <w:color w:val="auto"/>
        </w:rPr>
      </w:pPr>
    </w:p>
    <w:p>
      <w:pPr>
        <w:ind w:right="180" w:firstLine="929"/>
        <w:spacing w:after="0" w:line="312" w:lineRule="auto"/>
        <w:tabs>
          <w:tab w:leader="none" w:pos="126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false or inaccurate certification (including a false or inaccurate deemed certification) by the Company that either (A) the Equity Conditions are satisfied, (B) there has been no Equity Conditions Failure, or (C) as to whether any Event of Default has occurred;</w:t>
      </w:r>
    </w:p>
    <w:p>
      <w:pPr>
        <w:spacing w:after="0" w:line="31" w:lineRule="exact"/>
        <w:rPr>
          <w:rFonts w:ascii="Times New Roman" w:cs="Times New Roman" w:eastAsia="Times New Roman" w:hAnsi="Times New Roman"/>
          <w:sz w:val="17"/>
          <w:szCs w:val="17"/>
          <w:color w:val="auto"/>
        </w:rPr>
      </w:pPr>
    </w:p>
    <w:p>
      <w:pPr>
        <w:ind w:left="1320" w:hanging="391"/>
        <w:spacing w:after="0"/>
        <w:tabs>
          <w:tab w:leader="none" w:pos="1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failure in any respect by the Company or any Subsidiary to comply with any provision of Section 15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98" w:lineRule="exact"/>
        <w:rPr>
          <w:rFonts w:ascii="Times New Roman" w:cs="Times New Roman" w:eastAsia="Times New Roman" w:hAnsi="Times New Roman"/>
          <w:sz w:val="18"/>
          <w:szCs w:val="18"/>
          <w:color w:val="auto"/>
        </w:rPr>
      </w:pPr>
    </w:p>
    <w:p>
      <w:pPr>
        <w:ind w:left="1380" w:hanging="451"/>
        <w:spacing w:after="0"/>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Shoe Business Sale fails to occur on or prior to June 30, 2026;</w:t>
      </w:r>
    </w:p>
    <w:p>
      <w:pPr>
        <w:spacing w:after="0" w:line="117" w:lineRule="exact"/>
        <w:rPr>
          <w:rFonts w:ascii="Times New Roman" w:cs="Times New Roman" w:eastAsia="Times New Roman" w:hAnsi="Times New Roman"/>
          <w:sz w:val="18"/>
          <w:szCs w:val="18"/>
          <w:color w:val="auto"/>
        </w:rPr>
      </w:pPr>
    </w:p>
    <w:p>
      <w:pPr>
        <w:ind w:right="560" w:firstLine="929"/>
        <w:spacing w:after="0" w:line="266" w:lineRule="auto"/>
        <w:tabs>
          <w:tab w:leader="none" w:pos="14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Shoe Sale Closing Time (as defined below) no more than $5 million of indebtedness (including, without limitation, Indebtedness, but excluding the Notes and the Other Notes) of the Company and its Subsidiaries, in the aggregate, remains outstanding;</w:t>
      </w:r>
    </w:p>
    <w:p>
      <w:pPr>
        <w:spacing w:after="0" w:line="67" w:lineRule="exact"/>
        <w:rPr>
          <w:rFonts w:ascii="Times New Roman" w:cs="Times New Roman" w:eastAsia="Times New Roman" w:hAnsi="Times New Roman"/>
          <w:sz w:val="18"/>
          <w:szCs w:val="18"/>
          <w:color w:val="auto"/>
        </w:rPr>
      </w:pPr>
    </w:p>
    <w:p>
      <w:pPr>
        <w:ind w:firstLine="929"/>
        <w:spacing w:after="0" w:line="266" w:lineRule="auto"/>
        <w:tabs>
          <w:tab w:leader="none" w:pos="13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GPU Lease (including, without limitation, the failure to sweep all, or any part, of any payment amounts thereunder into the Blocked Controlled Account (as defined in the Security Agreement) and/or the failure by the lessee to make any payments as and when required thereunder and/or); or</w:t>
      </w:r>
    </w:p>
    <w:p>
      <w:pPr>
        <w:spacing w:after="0" w:line="67" w:lineRule="exact"/>
        <w:rPr>
          <w:rFonts w:ascii="Times New Roman" w:cs="Times New Roman" w:eastAsia="Times New Roman" w:hAnsi="Times New Roman"/>
          <w:sz w:val="18"/>
          <w:szCs w:val="18"/>
          <w:color w:val="auto"/>
        </w:rPr>
      </w:pPr>
    </w:p>
    <w:p>
      <w:pPr>
        <w:ind w:left="1280" w:hanging="351"/>
        <w:spacing w:after="0"/>
        <w:tabs>
          <w:tab w:leader="none" w:pos="12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Effect (as defined in the Securities Purchase Agreement) occurs;</w:t>
      </w:r>
    </w:p>
    <w:p>
      <w:pPr>
        <w:spacing w:after="0" w:line="117" w:lineRule="exact"/>
        <w:rPr>
          <w:rFonts w:ascii="Times New Roman" w:cs="Times New Roman" w:eastAsia="Times New Roman" w:hAnsi="Times New Roman"/>
          <w:sz w:val="18"/>
          <w:szCs w:val="18"/>
          <w:color w:val="auto"/>
        </w:rPr>
      </w:pPr>
    </w:p>
    <w:p>
      <w:pPr>
        <w:ind w:right="60" w:firstLine="929"/>
        <w:spacing w:after="0" w:line="256" w:lineRule="auto"/>
        <w:tabs>
          <w:tab w:leader="none" w:pos="13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any Transaction Document (including, without limitation, the Security Documents and the Guaranties)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(including, without limitation, the Security Documents and the Guaranties);</w:t>
      </w:r>
    </w:p>
    <w:p>
      <w:pPr>
        <w:spacing w:after="0" w:line="79" w:lineRule="exact"/>
        <w:rPr>
          <w:rFonts w:ascii="Times New Roman" w:cs="Times New Roman" w:eastAsia="Times New Roman" w:hAnsi="Times New Roman"/>
          <w:sz w:val="18"/>
          <w:szCs w:val="18"/>
          <w:color w:val="auto"/>
        </w:rPr>
      </w:pPr>
    </w:p>
    <w:p>
      <w:pPr>
        <w:ind w:right="80" w:firstLine="929"/>
        <w:spacing w:after="0" w:line="256" w:lineRule="auto"/>
        <w:tabs>
          <w:tab w:leader="none" w:pos="136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shall for any reason fail or cease to create a separate valid and perfected and, except to the extent permitted by the terms hereof or thereof, first priority Lien (as defined in the Securities Purchase Agreement) on the Collateral (as defined in the Security Documents) in favor of the Collateral Agent (as defined in the Securities Purchase Agreement) or any material provision of any Security Document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p>
    <w:p>
      <w:pPr>
        <w:spacing w:after="0" w:line="1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220"/>
          </w:cols>
          <w:pgMar w:left="1200" w:top="270" w:right="479" w:bottom="1440" w:gutter="0" w:footer="0" w:header="0"/>
        </w:sectPr>
      </w:pPr>
    </w:p>
    <w:bookmarkStart w:id="55" w:name="page56"/>
    <w:bookmarkEnd w:id="55"/>
    <w:p>
      <w:pPr>
        <w:jc w:val="both"/>
        <w:ind w:left="320" w:right="20" w:firstLine="929"/>
        <w:spacing w:after="0" w:line="261" w:lineRule="auto"/>
        <w:tabs>
          <w:tab w:leader="none" w:pos="173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material damage to, or loss, theft or destruction of, any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would reasonably be expected to have a Material Adverse Effect; or</w:t>
      </w:r>
    </w:p>
    <w:p>
      <w:pPr>
        <w:spacing w:after="0" w:line="71" w:lineRule="exact"/>
        <w:rPr>
          <w:rFonts w:ascii="Times New Roman" w:cs="Times New Roman" w:eastAsia="Times New Roman" w:hAnsi="Times New Roman"/>
          <w:sz w:val="18"/>
          <w:szCs w:val="18"/>
          <w:color w:val="auto"/>
        </w:rPr>
      </w:pPr>
    </w:p>
    <w:p>
      <w:pPr>
        <w:ind w:left="1740" w:hanging="491"/>
        <w:spacing w:after="0"/>
        <w:tabs>
          <w:tab w:leader="none" w:pos="17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Notes) occurs with respect to any Other Notes.</w:t>
      </w:r>
    </w:p>
    <w:p>
      <w:pPr>
        <w:spacing w:after="0" w:line="117" w:lineRule="exact"/>
        <w:rPr>
          <w:rFonts w:ascii="Times New Roman" w:cs="Times New Roman" w:eastAsia="Times New Roman" w:hAnsi="Times New Roman"/>
          <w:sz w:val="18"/>
          <w:szCs w:val="18"/>
          <w:color w:val="auto"/>
        </w:rPr>
      </w:pPr>
    </w:p>
    <w:p>
      <w:pPr>
        <w:ind w:firstLine="419"/>
        <w:spacing w:after="0" w:line="251"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an Event of Default; Redemption Right</w:t>
      </w:r>
      <w:r>
        <w:rPr>
          <w:rFonts w:ascii="Times New Roman" w:cs="Times New Roman" w:eastAsia="Times New Roman" w:hAnsi="Times New Roman"/>
          <w:sz w:val="18"/>
          <w:szCs w:val="18"/>
          <w:color w:val="auto"/>
        </w:rPr>
        <w:t>. Upon the occurrence of an Event of Default with respect to this Note or any Other Note, the Company shall within two (2) Business Days after the occurrence of such Event of Default deliver written notice thereof via electronic mail and overnight courier (with next day delivery specified)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to the Holder. At any time after the earlier of the Holder’s receipt of an Event of Default Notice and the Holder becoming aware of an Event of Default, the Holder may require the Company to redeem (regardless of whether such Event of Default has been cured) all or any portion of this Note by delivering written notice thereof (the “</w:t>
      </w:r>
      <w:r>
        <w:rPr>
          <w:rFonts w:ascii="Times New Roman" w:cs="Times New Roman" w:eastAsia="Times New Roman" w:hAnsi="Times New Roman"/>
          <w:sz w:val="18"/>
          <w:szCs w:val="18"/>
          <w:b w:val="1"/>
          <w:bCs w:val="1"/>
          <w:color w:val="auto"/>
        </w:rPr>
        <w:t>Event of Default Redemption Notice</w:t>
      </w:r>
      <w:r>
        <w:rPr>
          <w:rFonts w:ascii="Times New Roman" w:cs="Times New Roman" w:eastAsia="Times New Roman" w:hAnsi="Times New Roman"/>
          <w:sz w:val="18"/>
          <w:szCs w:val="18"/>
          <w:color w:val="auto"/>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the product of (X) the Conversion Rate with respect to the Conversion Amount in effect at such time as the Holder delivers an Event of Default Redemption Notice multiplied by (Y) the product of (1) the Redemption Premium multiplied by (2)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 w:cs="Times New Roman" w:eastAsia="Times New Roman" w:hAnsi="Times New Roman"/>
          <w:sz w:val="18"/>
          <w:szCs w:val="18"/>
          <w:b w:val="1"/>
          <w:bCs w:val="1"/>
          <w:color w:val="auto"/>
        </w:rPr>
        <w:t>Event of Default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Redemptions required by this Section 4(b) shall be made in accordance with the provisions of Section 13. To the extent redemptions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this Section 4(b) are deemed or determined by a court of competent jurisdiction to be prepayments of this Note by the Company, such redemptions shall be deemed to be voluntary prepayments. Notwithstanding anything to the contrary in this Section 3(e),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spacing w:after="0" w:line="13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56" w:name="page57"/>
    <w:bookmarkEnd w:id="56"/>
    <w:p>
      <w:pPr>
        <w:ind w:right="140" w:firstLine="419"/>
        <w:spacing w:after="0" w:line="272" w:lineRule="auto"/>
        <w:tabs>
          <w:tab w:leader="none" w:pos="66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Redemption upon Bankruptcy Event of Default</w:t>
      </w:r>
      <w:r>
        <w:rPr>
          <w:rFonts w:ascii="Times New Roman" w:cs="Times New Roman" w:eastAsia="Times New Roman" w:hAnsi="Times New Roman"/>
          <w:sz w:val="17"/>
          <w:szCs w:val="17"/>
          <w:color w:val="auto"/>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accrued and unpaid Interest and accrued and unpaid Late Charges on such Principal and Interest, multiplied by (ii) the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spacing w:after="0" w:line="63" w:lineRule="exact"/>
        <w:rPr>
          <w:rFonts w:ascii="Times New Roman" w:cs="Times New Roman" w:eastAsia="Times New Roman" w:hAnsi="Times New Roman"/>
          <w:sz w:val="17"/>
          <w:szCs w:val="17"/>
          <w:color w:val="auto"/>
        </w:rPr>
      </w:pPr>
    </w:p>
    <w:p>
      <w:pPr>
        <w:ind w:left="720" w:hanging="173"/>
        <w:spacing w:after="0"/>
        <w:tabs>
          <w:tab w:leader="none" w:pos="7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FUNDAMENTAL TRANSACTION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2" w:lineRule="auto"/>
        <w:tabs>
          <w:tab w:leader="none" w:pos="66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The Company shall not enter into or be party to a Fundamental Transaction unless (i)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such items still issuable under Sections 6 and 17, which shall continue to be receivable thereafter)) issuable upon the conversion or redemption of the Notes prior to such Fundamental Transaction, such shares of the publicly traded common stock (or their equivalent) of the Successor Entity (including its Parent Entity)</w:t>
      </w:r>
    </w:p>
    <w:p>
      <w:pPr>
        <w:spacing w:after="0" w:line="1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80" w:top="270" w:right="479" w:bottom="1440" w:gutter="0" w:footer="0" w:header="0"/>
        </w:sectPr>
      </w:pPr>
    </w:p>
    <w:bookmarkStart w:id="57" w:name="page58"/>
    <w:bookmarkEnd w:id="57"/>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spacing w:after="0" w:line="79" w:lineRule="exact"/>
        <w:rPr>
          <w:sz w:val="20"/>
          <w:szCs w:val="20"/>
          <w:color w:val="auto"/>
        </w:rPr>
      </w:pPr>
    </w:p>
    <w:p>
      <w:pPr>
        <w:ind w:left="4" w:firstLine="419"/>
        <w:spacing w:after="0" w:line="267" w:lineRule="auto"/>
        <w:tabs>
          <w:tab w:leader="none" w:pos="68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a Change of Control; Redemption Right</w:t>
      </w:r>
      <w:r>
        <w:rPr>
          <w:rFonts w:ascii="Times New Roman" w:cs="Times New Roman" w:eastAsia="Times New Roman" w:hAnsi="Times New Roman"/>
          <w:sz w:val="17"/>
          <w:szCs w:val="17"/>
          <w:color w:val="auto"/>
        </w:rPr>
        <w:t>. No sooner than twenty (20) Trading Days nor later than ten (10) Trading Days prior to the consummation of a Change of Control (the “</w:t>
      </w:r>
      <w:r>
        <w:rPr>
          <w:rFonts w:ascii="Times New Roman" w:cs="Times New Roman" w:eastAsia="Times New Roman" w:hAnsi="Times New Roman"/>
          <w:sz w:val="17"/>
          <w:szCs w:val="17"/>
          <w:b w:val="1"/>
          <w:bCs w:val="1"/>
          <w:color w:val="auto"/>
        </w:rPr>
        <w:t>Change of Control Date</w:t>
      </w:r>
      <w:r>
        <w:rPr>
          <w:rFonts w:ascii="Times New Roman" w:cs="Times New Roman" w:eastAsia="Times New Roman" w:hAnsi="Times New Roman"/>
          <w:sz w:val="17"/>
          <w:szCs w:val="17"/>
          <w:color w:val="auto"/>
        </w:rPr>
        <w:t>”), but not prior to the public announcement of such Change of Control, the Company shall deliver written notice thereof via electronic mail and overnight courier to the Holder (a “</w:t>
      </w:r>
      <w:r>
        <w:rPr>
          <w:rFonts w:ascii="Times New Roman" w:cs="Times New Roman" w:eastAsia="Times New Roman" w:hAnsi="Times New Roman"/>
          <w:sz w:val="17"/>
          <w:szCs w:val="17"/>
          <w:b w:val="1"/>
          <w:bCs w:val="1"/>
          <w:color w:val="auto"/>
        </w:rPr>
        <w:t>Change of Control Notice</w:t>
      </w:r>
      <w:r>
        <w:rPr>
          <w:rFonts w:ascii="Times New Roman" w:cs="Times New Roman" w:eastAsia="Times New Roman" w:hAnsi="Times New Roman"/>
          <w:sz w:val="17"/>
          <w:szCs w:val="17"/>
          <w:color w:val="auto"/>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 w:cs="Times New Roman" w:eastAsia="Times New Roman" w:hAnsi="Times New Roman"/>
          <w:sz w:val="17"/>
          <w:szCs w:val="17"/>
          <w:b w:val="1"/>
          <w:bCs w:val="1"/>
          <w:color w:val="auto"/>
        </w:rPr>
        <w:t>Change of Control Redemption Notice</w:t>
      </w:r>
      <w:r>
        <w:rPr>
          <w:rFonts w:ascii="Times New Roman" w:cs="Times New Roman" w:eastAsia="Times New Roman" w:hAnsi="Times New Roman"/>
          <w:sz w:val="17"/>
          <w:szCs w:val="17"/>
          <w:color w:val="auto"/>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(w) the Change of Control Redemption Premium multiplied by (y) the Conversion Amount being redeemed, (ii) the product of (x) the Change of Control Redemption Premium multiplied by (y) the product of (A) the Conversion Amount being redeemed multiplied by (B) the quotient determined by dividing</w:t>
      </w:r>
    </w:p>
    <w:p>
      <w:pPr>
        <w:ind w:left="4" w:right="20" w:hanging="4"/>
        <w:spacing w:after="0" w:line="251" w:lineRule="auto"/>
        <w:tabs>
          <w:tab w:leader="none" w:pos="22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greatest Closing Sale Price of the shares of Common Stock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Conversion Price then in effect and (iii) the product of (y) the Change of Control Redemption Premium multiplied by (z) the product of (A) the Conversion Amount being redeemed multiplied by (B) the quotient of (I) 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Redemptions required by this Section 5 shall be made in accordance with the provisions of</w:t>
      </w:r>
    </w:p>
    <w:p>
      <w:pPr>
        <w:spacing w:after="0" w:line="125"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4"/>
          </w:cols>
          <w:pgMar w:left="876" w:top="270" w:right="459" w:bottom="1440" w:gutter="0" w:footer="0" w:header="0"/>
        </w:sectPr>
      </w:pPr>
    </w:p>
    <w:bookmarkStart w:id="58" w:name="page59"/>
    <w:bookmarkEnd w:id="58"/>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 and shall have priority to 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Common Stock pursuant to Section 3.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spacing w:after="0" w:line="80" w:lineRule="exact"/>
        <w:rPr>
          <w:sz w:val="20"/>
          <w:szCs w:val="20"/>
          <w:color w:val="auto"/>
        </w:rPr>
      </w:pPr>
    </w:p>
    <w:p>
      <w:pPr>
        <w:ind w:left="184" w:hanging="184"/>
        <w:spacing w:after="0"/>
        <w:tabs>
          <w:tab w:leader="none" w:pos="18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PURCHASE RIGHTS AND OTHER CORPORATE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2" w:lineRule="auto"/>
        <w:tabs>
          <w:tab w:leader="none" w:pos="67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Sections 7 or 17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 w:cs="Times New Roman" w:eastAsia="Times New Roman" w:hAnsi="Times New Roman"/>
          <w:sz w:val="18"/>
          <w:szCs w:val="18"/>
          <w:b w:val="1"/>
          <w:bCs w:val="1"/>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59" w:name="page60"/>
    <w:bookmarkEnd w:id="59"/>
    <w:p>
      <w:pPr>
        <w:ind w:left="680" w:hanging="26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p>
    <w:p>
      <w:pPr>
        <w:spacing w:after="0" w:line="84" w:lineRule="exact"/>
        <w:rPr>
          <w:rFonts w:ascii="Times New Roman" w:cs="Times New Roman" w:eastAsia="Times New Roman" w:hAnsi="Times New Roman"/>
          <w:sz w:val="18"/>
          <w:szCs w:val="18"/>
          <w:color w:val="auto"/>
        </w:rPr>
      </w:pPr>
    </w:p>
    <w:p>
      <w:pPr>
        <w:ind w:left="720" w:hanging="173"/>
        <w:spacing w:after="0"/>
        <w:tabs>
          <w:tab w:leader="none" w:pos="7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OTHER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19"/>
        <w:spacing w:after="0" w:line="254" w:lineRule="auto"/>
        <w:tabs>
          <w:tab w:leader="none" w:pos="66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Issuance of Common Stock</w:t>
      </w:r>
      <w:r>
        <w:rPr>
          <w:rFonts w:ascii="Times New Roman" w:cs="Times New Roman" w:eastAsia="Times New Roman" w:hAnsi="Times New Roman"/>
          <w:sz w:val="18"/>
          <w:szCs w:val="18"/>
          <w:color w:val="auto"/>
        </w:rPr>
        <w:t>. If and whenever on or after the Subscription Date the Company grants, issues or sells (or enters into any agreement to grant, issue or sell), or in accordance with this Section 7(a) is deemed to have granted, issued or sold, any shares of Common Stock (including the granting,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cs="Times New Roman" w:eastAsia="Times New Roman" w:hAnsi="Times New Roman"/>
          <w:sz w:val="18"/>
          <w:szCs w:val="18"/>
          <w:b w:val="1"/>
          <w:bCs w:val="1"/>
          <w:color w:val="auto"/>
        </w:rPr>
        <w:t>New Issuance Price</w:t>
      </w:r>
      <w:r>
        <w:rPr>
          <w:rFonts w:ascii="Times New Roman" w:cs="Times New Roman" w:eastAsia="Times New Roman" w:hAnsi="Times New Roman"/>
          <w:sz w:val="18"/>
          <w:szCs w:val="18"/>
          <w:color w:val="auto"/>
        </w:rPr>
        <w:t>”) less than a price equal to the Conversion Price in effect immediately prior to such granting, issuance or sale or deemed granting, issuance or sale (such Conversion Price then in effect is referred to herein as the “</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b w:val="1"/>
          <w:bCs w:val="1"/>
          <w:color w:val="auto"/>
        </w:rPr>
        <w:t>Dilutive Issuance</w:t>
      </w:r>
      <w:r>
        <w:rPr>
          <w:rFonts w:ascii="Times New Roman" w:cs="Times New Roman" w:eastAsia="Times New Roman" w:hAnsi="Times New Roman"/>
          <w:sz w:val="18"/>
          <w:szCs w:val="18"/>
          <w:color w:val="auto"/>
        </w:rPr>
        <w:t>”), then, immediately after such Dilutive Issuance, the Conversion Price then in effect shall be reduced to an amount equal to the New Issuance Price. For all purposes of the foregoing (including, without limitation, determining the adjusted Conversion Price and the New Issuance Price under this Section 7(a)), the following shall be applicable:</w:t>
      </w:r>
    </w:p>
    <w:p>
      <w:pPr>
        <w:spacing w:after="0" w:line="80" w:lineRule="exact"/>
        <w:rPr>
          <w:rFonts w:ascii="Times New Roman" w:cs="Times New Roman" w:eastAsia="Times New Roman" w:hAnsi="Times New Roman"/>
          <w:sz w:val="18"/>
          <w:szCs w:val="18"/>
          <w:color w:val="auto"/>
        </w:rPr>
      </w:pPr>
    </w:p>
    <w:p>
      <w:pPr>
        <w:ind w:left="320" w:right="20" w:firstLine="929"/>
        <w:spacing w:after="0" w:line="258" w:lineRule="auto"/>
        <w:tabs>
          <w:tab w:leader="none" w:pos="145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Options</w:t>
      </w:r>
      <w:r>
        <w:rPr>
          <w:rFonts w:ascii="Times New Roman" w:cs="Times New Roman" w:eastAsia="Times New Roman" w:hAnsi="Times New Roman"/>
          <w:sz w:val="18"/>
          <w:szCs w:val="18"/>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w:t>
      </w:r>
    </w:p>
    <w:p>
      <w:pPr>
        <w:spacing w:after="0" w:line="1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20"/>
          </w:cols>
          <w:pgMar w:left="880" w:top="270" w:right="499" w:bottom="1440" w:gutter="0" w:footer="0" w:header="0"/>
        </w:sectPr>
      </w:pPr>
    </w:p>
    <w:bookmarkStart w:id="60" w:name="page61"/>
    <w:bookmarkEnd w:id="6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time of the granting, issuance or sale of such Option for such price per share. For purposes of this Section 7(a)(i),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(including, without limitation, consideration consisting of cash, debt forgiveness, assets or any other property) received or receivable by, or benefit conferred on, the holder of such Option (or any other Person). Except as contemplated below, no further adjustment of the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w:t>
      </w:r>
    </w:p>
    <w:p>
      <w:pPr>
        <w:spacing w:after="0" w:line="87" w:lineRule="exact"/>
        <w:rPr>
          <w:sz w:val="20"/>
          <w:szCs w:val="20"/>
          <w:color w:val="auto"/>
        </w:rPr>
      </w:pPr>
    </w:p>
    <w:p>
      <w:pPr>
        <w:ind w:right="20" w:firstLine="929"/>
        <w:spacing w:after="0" w:line="253" w:lineRule="auto"/>
        <w:tabs>
          <w:tab w:leader="none" w:pos="118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7(a)(ii),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w:t>
      </w:r>
    </w:p>
    <w:p>
      <w:pPr>
        <w:spacing w:after="0" w:line="12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240"/>
          </w:cols>
          <w:pgMar w:left="1200" w:top="270" w:right="459" w:bottom="1440" w:gutter="0" w:footer="0" w:header="0"/>
        </w:sectPr>
      </w:pPr>
    </w:p>
    <w:bookmarkStart w:id="61" w:name="page62"/>
    <w:bookmarkEnd w:id="6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paid or payable to the holder of such Convertible Security (or any other Person) with respect to any one share of Common Stock upon the issuance or sale (or the agreement to issue or sell, as applicable) of such Convertible Security plus the value of any other consideration received or receivable (including, without limitation, any consideration consisting of cash, debt forgiveness, assets or other property) by, or benefit conferred on, the holder of such Convertible Security (or any other Person). Except as contemplated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7(a), except as contemplated below, no further adjustment of the Conversion Price shall be made by reason of such issuance or sale.</w:t>
      </w:r>
    </w:p>
    <w:p>
      <w:pPr>
        <w:spacing w:after="0" w:line="84" w:lineRule="exact"/>
        <w:rPr>
          <w:sz w:val="20"/>
          <w:szCs w:val="20"/>
          <w:color w:val="auto"/>
        </w:rPr>
      </w:pPr>
    </w:p>
    <w:p>
      <w:pPr>
        <w:ind w:right="40" w:firstLine="929"/>
        <w:spacing w:after="0" w:line="253" w:lineRule="auto"/>
        <w:tabs>
          <w:tab w:leader="none" w:pos="123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7(b)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7(a)(i), if the terms of any Option or Convertible Security (including, without limitation, any Option or Convertible Security that was outstanding as of the Subscription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7(a) shall be made if such adjustment would result in an increase of the Conversion Price then in effect.</w:t>
      </w:r>
    </w:p>
    <w:p>
      <w:pPr>
        <w:spacing w:after="0" w:line="81" w:lineRule="exact"/>
        <w:rPr>
          <w:rFonts w:ascii="Times New Roman" w:cs="Times New Roman" w:eastAsia="Times New Roman" w:hAnsi="Times New Roman"/>
          <w:sz w:val="18"/>
          <w:szCs w:val="18"/>
          <w:color w:val="auto"/>
        </w:rPr>
      </w:pPr>
    </w:p>
    <w:p>
      <w:pPr>
        <w:ind w:right="100" w:firstLine="929"/>
        <w:spacing w:after="0" w:line="254" w:lineRule="auto"/>
        <w:tabs>
          <w:tab w:leader="none" w:pos="122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Option and/or Convertible Security and/or Adjustment Right is issued in connection with the issuance or sale or deemed issuance or sale of any other securities of the Company (as determined by the Holder, the “</w:t>
      </w:r>
      <w:r>
        <w:rPr>
          <w:rFonts w:ascii="Times New Roman" w:cs="Times New Roman" w:eastAsia="Times New Roman" w:hAnsi="Times New Roman"/>
          <w:sz w:val="18"/>
          <w:szCs w:val="18"/>
          <w:b w:val="1"/>
          <w:bCs w:val="1"/>
          <w:color w:val="auto"/>
        </w:rPr>
        <w:t>Primary Security</w:t>
      </w:r>
      <w:r>
        <w:rPr>
          <w:rFonts w:ascii="Times New Roman" w:cs="Times New Roman" w:eastAsia="Times New Roman" w:hAnsi="Times New Roman"/>
          <w:sz w:val="18"/>
          <w:szCs w:val="18"/>
          <w:color w:val="auto"/>
        </w:rPr>
        <w:t>”, and such Option and/or Convertible Security and/or Adjustment Right, the “</w:t>
      </w:r>
      <w:r>
        <w:rPr>
          <w:rFonts w:ascii="Times New Roman" w:cs="Times New Roman" w:eastAsia="Times New Roman" w:hAnsi="Times New Roman"/>
          <w:sz w:val="18"/>
          <w:szCs w:val="18"/>
          <w:b w:val="1"/>
          <w:bCs w:val="1"/>
          <w:color w:val="auto"/>
        </w:rPr>
        <w:t>Secondary Securities</w:t>
      </w:r>
      <w:r>
        <w:rPr>
          <w:rFonts w:ascii="Times New Roman" w:cs="Times New Roman" w:eastAsia="Times New Roman" w:hAnsi="Times New Roman"/>
          <w:sz w:val="18"/>
          <w:szCs w:val="18"/>
          <w:color w:val="auto"/>
        </w:rPr>
        <w:t>”), together comprising one integrated transaction (or one or more transactions if such issuances or sales or deemed issuances or sales of securities of the Company either (A) have at least one investor or purchaser in common, (B) are consummated in reasonable proximity to each other and/or</w:t>
      </w:r>
    </w:p>
    <w:p>
      <w:pPr>
        <w:spacing w:after="0" w:line="3" w:lineRule="exact"/>
        <w:rPr>
          <w:rFonts w:ascii="Times New Roman" w:cs="Times New Roman" w:eastAsia="Times New Roman" w:hAnsi="Times New Roman"/>
          <w:sz w:val="18"/>
          <w:szCs w:val="18"/>
          <w:color w:val="auto"/>
        </w:rPr>
      </w:pPr>
    </w:p>
    <w:p>
      <w:pPr>
        <w:ind w:right="260" w:firstLine="7"/>
        <w:spacing w:after="0" w:line="255" w:lineRule="auto"/>
        <w:tabs>
          <w:tab w:leader="none" w:pos="2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w:t>
      </w:r>
    </w:p>
    <w:p>
      <w:pPr>
        <w:spacing w:after="0" w:line="11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240"/>
          </w:cols>
          <w:pgMar w:left="1200" w:top="270" w:right="459" w:bottom="1440" w:gutter="0" w:footer="0" w:header="0"/>
        </w:sectPr>
      </w:pPr>
    </w:p>
    <w:bookmarkStart w:id="62" w:name="page63"/>
    <w:bookmarkEnd w:id="62"/>
    <w:p>
      <w:pPr>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Section 7(a)(i) or 7(a)(ii) above, as applicable) in such integrated transaction solely with respect to such Primary Security, minus (y) with respect to such Secondary Securities, the sum of (I) the Black Scholes Consideration Value of each such Option, if any, (II) the fair market value (as determined by the Holder in good faith) or the Black Scholes Consideration Value, as applicable, of such Adjustment Right, if any, and (III) the fair market value (as determined by the Holder) of such Convertible Security, if any, in each case, as determined on a per share basis in accordance with this Section 7(a)(iv). If any shares of Common Stock, Options or Convertible Securities are issued or sold or deemed to have been issued or sold for cash, the consideration received therefor (for the purpose of determining the consideration paid for such Common Stock, Option or Convertible 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8"/>
          <w:szCs w:val="18"/>
          <w:b w:val="1"/>
          <w:bCs w:val="1"/>
          <w:color w:val="auto"/>
        </w:rPr>
        <w:t>Valuation Event</w:t>
      </w:r>
      <w:r>
        <w:rPr>
          <w:rFonts w:ascii="Times New Roman" w:cs="Times New Roman" w:eastAsia="Times New Roman" w:hAnsi="Times New Roman"/>
          <w:sz w:val="18"/>
          <w:szCs w:val="18"/>
          <w:color w:val="auto"/>
        </w:rPr>
        <w:t>”), the fair value of such consideration will be determined within five (5) Trading Days after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102" w:lineRule="exact"/>
        <w:rPr>
          <w:sz w:val="20"/>
          <w:szCs w:val="20"/>
          <w:color w:val="auto"/>
        </w:rPr>
      </w:pPr>
    </w:p>
    <w:p>
      <w:pPr>
        <w:ind w:left="1180" w:hanging="251"/>
        <w:spacing w:after="0"/>
        <w:tabs>
          <w:tab w:leader="none" w:pos="11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If the Company takes a record of the holders of shares of Common Stock for the purpose of entitling them</w:t>
      </w:r>
    </w:p>
    <w:p>
      <w:pPr>
        <w:spacing w:after="0" w:line="27" w:lineRule="exact"/>
        <w:rPr>
          <w:rFonts w:ascii="Times New Roman" w:cs="Times New Roman" w:eastAsia="Times New Roman" w:hAnsi="Times New Roman"/>
          <w:sz w:val="18"/>
          <w:szCs w:val="18"/>
          <w:color w:val="auto"/>
        </w:rPr>
      </w:pPr>
    </w:p>
    <w:p>
      <w:pPr>
        <w:ind w:right="200" w:firstLine="7"/>
        <w:spacing w:after="0" w:line="253" w:lineRule="auto"/>
        <w:tabs>
          <w:tab w:leader="none" w:pos="2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240"/>
          </w:cols>
          <w:pgMar w:left="1200" w:top="270" w:right="459" w:bottom="1440" w:gutter="0" w:footer="0" w:header="0"/>
        </w:sectPr>
      </w:pPr>
    </w:p>
    <w:bookmarkStart w:id="63" w:name="page64"/>
    <w:bookmarkEnd w:id="63"/>
    <w:p>
      <w:pPr>
        <w:ind w:firstLine="419"/>
        <w:spacing w:after="0" w:line="253" w:lineRule="auto"/>
        <w:tabs>
          <w:tab w:leader="none" w:pos="6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 of Conversion Price upon Subdivision or Combination of Common Stock</w:t>
      </w:r>
      <w:r>
        <w:rPr>
          <w:rFonts w:ascii="Times New Roman" w:cs="Times New Roman" w:eastAsia="Times New Roman" w:hAnsi="Times New Roman"/>
          <w:sz w:val="18"/>
          <w:szCs w:val="18"/>
          <w:color w:val="auto"/>
        </w:rPr>
        <w:t>. Without limiting any provision of Section 6, Section 17 or Section 7(a),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6, Section 17 or Section 7(a),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7(b) shall become effective immediately after the effective date of such subdivision or combination. If any event requiring an adjustment under this Section 7(b) occurs during the period that a Conversion Price is calculated hereunder, then the calculation of such Conversion Price shall be adjusted appropriately to reflect such event.</w:t>
      </w:r>
    </w:p>
    <w:p>
      <w:pPr>
        <w:spacing w:after="0" w:line="86" w:lineRule="exact"/>
        <w:rPr>
          <w:rFonts w:ascii="Times New Roman" w:cs="Times New Roman" w:eastAsia="Times New Roman" w:hAnsi="Times New Roman"/>
          <w:sz w:val="18"/>
          <w:szCs w:val="18"/>
          <w:color w:val="auto"/>
        </w:rPr>
      </w:pPr>
    </w:p>
    <w:p>
      <w:pPr>
        <w:ind w:right="20" w:firstLine="419"/>
        <w:spacing w:after="0" w:line="253" w:lineRule="auto"/>
        <w:tabs>
          <w:tab w:leader="none" w:pos="6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Right of Adjusted Conversion Price</w:t>
      </w:r>
      <w:r>
        <w:rPr>
          <w:rFonts w:ascii="Times New Roman" w:cs="Times New Roman" w:eastAsia="Times New Roman" w:hAnsi="Times New Roman"/>
          <w:sz w:val="18"/>
          <w:szCs w:val="18"/>
          <w:color w:val="auto"/>
        </w:rPr>
        <w:t>. In addition to and not in limitation of the other provisions of this Section 7, if the Company in any manner issues or sells or enters into any agreement to issue or sell, any Common Stock, Options or Convertible Securities (any such securities, “</w:t>
      </w:r>
      <w:r>
        <w:rPr>
          <w:rFonts w:ascii="Times New Roman" w:cs="Times New Roman" w:eastAsia="Times New Roman" w:hAnsi="Times New Roman"/>
          <w:sz w:val="18"/>
          <w:szCs w:val="18"/>
          <w:b w:val="1"/>
          <w:bCs w:val="1"/>
          <w:color w:val="auto"/>
        </w:rPr>
        <w:t>Variable Price Securities</w:t>
      </w:r>
      <w:r>
        <w:rPr>
          <w:rFonts w:ascii="Times New Roman" w:cs="Times New Roman" w:eastAsia="Times New Roman" w:hAnsi="Times New Roman"/>
          <w:sz w:val="18"/>
          <w:szCs w:val="18"/>
          <w:color w:val="auto"/>
        </w:rPr>
        <w:t>”), after the Subscription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Times New Roman" w:cs="Times New Roman" w:eastAsia="Times New Roman" w:hAnsi="Times New Roman"/>
          <w:sz w:val="18"/>
          <w:szCs w:val="18"/>
          <w:b w:val="1"/>
          <w:bCs w:val="1"/>
          <w:color w:val="auto"/>
        </w:rPr>
        <w:t>Variable Price</w:t>
      </w:r>
      <w:r>
        <w:rPr>
          <w:rFonts w:ascii="Times New Roman" w:cs="Times New Roman" w:eastAsia="Times New Roman" w:hAnsi="Times New Roman"/>
          <w:sz w:val="18"/>
          <w:szCs w:val="18"/>
          <w:color w:val="auto"/>
        </w:rPr>
        <w:t>”), the Company shall provide written notice thereof via electronic mail and overnight courier to the Holder on the date of such agreement and the issuance of such Common Stock, Convertible Securities or Options.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p>
    <w:p>
      <w:pPr>
        <w:spacing w:after="0" w:line="79" w:lineRule="exact"/>
        <w:rPr>
          <w:rFonts w:ascii="Times New Roman" w:cs="Times New Roman" w:eastAsia="Times New Roman" w:hAnsi="Times New Roman"/>
          <w:sz w:val="18"/>
          <w:szCs w:val="18"/>
          <w:color w:val="auto"/>
        </w:rPr>
      </w:pPr>
    </w:p>
    <w:p>
      <w:pPr>
        <w:ind w:right="40" w:firstLine="419"/>
        <w:spacing w:after="0" w:line="224" w:lineRule="auto"/>
        <w:tabs>
          <w:tab w:leader="none" w:pos="6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Combination Event Adjustments</w:t>
      </w:r>
      <w:r>
        <w:rPr>
          <w:rFonts w:ascii="Times New Roman" w:cs="Times New Roman" w:eastAsia="Times New Roman" w:hAnsi="Times New Roman"/>
          <w:sz w:val="18"/>
          <w:szCs w:val="18"/>
          <w:color w:val="auto"/>
        </w:rPr>
        <w:t>. If at any time and from time to time on or after the Subscription Date there occurs any stock split, stock dividend, stock combination recapitalization or other similar transaction involving the Common Stock (each, a “</w:t>
      </w:r>
      <w:r>
        <w:rPr>
          <w:rFonts w:ascii="Times New Roman" w:cs="Times New Roman" w:eastAsia="Times New Roman" w:hAnsi="Times New Roman"/>
          <w:sz w:val="18"/>
          <w:szCs w:val="18"/>
          <w:b w:val="1"/>
          <w:bCs w:val="1"/>
          <w:color w:val="auto"/>
        </w:rPr>
        <w:t>Stock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and such date thereof, the “</w:t>
      </w:r>
      <w:r>
        <w:rPr>
          <w:rFonts w:ascii="Times New Roman" w:cs="Times New Roman" w:eastAsia="Times New Roman" w:hAnsi="Times New Roman"/>
          <w:sz w:val="18"/>
          <w:szCs w:val="18"/>
          <w:b w:val="1"/>
          <w:bCs w:val="1"/>
          <w:color w:val="auto"/>
        </w:rPr>
        <w:t>Stock Combination Event Date</w:t>
      </w:r>
      <w:r>
        <w:rPr>
          <w:rFonts w:ascii="Times New Roman" w:cs="Times New Roman" w:eastAsia="Times New Roman" w:hAnsi="Times New Roman"/>
          <w:sz w:val="18"/>
          <w:szCs w:val="18"/>
          <w:color w:val="auto"/>
        </w:rPr>
        <w:t>”) and the Event Market Price is less than the Conversion Price then in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giving effect to the adjustment in Section 7(b) above), then on the sixteenth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immediately following such Stock Combination Event Date, the Conversion Price then in effect on such sixteenth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Trading Day (after giving effect to the adjustment in Section 7(b) above) shall be reduced (but in no event increased) to the Event Market Price. For the avoidance of doubt, if the adjustment in the immediately preceding sentence would otherwise result in an increase in the Conversion Price hereunder, no adjustment shall be made.</w:t>
      </w:r>
    </w:p>
    <w:p>
      <w:pPr>
        <w:spacing w:after="0" w:line="13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40"/>
          </w:cols>
          <w:pgMar w:left="880" w:top="270" w:right="479" w:bottom="1440" w:gutter="0" w:footer="0" w:header="0"/>
        </w:sectPr>
      </w:pPr>
    </w:p>
    <w:bookmarkStart w:id="64" w:name="page65"/>
    <w:bookmarkEnd w:id="64"/>
    <w:p>
      <w:pPr>
        <w:ind w:left="4" w:firstLine="419"/>
        <w:spacing w:after="0" w:line="254" w:lineRule="auto"/>
        <w:tabs>
          <w:tab w:leader="none" w:pos="67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Events</w:t>
      </w:r>
      <w:r>
        <w:rPr>
          <w:rFonts w:ascii="Times New Roman" w:cs="Times New Roman" w:eastAsia="Times New Roman" w:hAnsi="Times New Roman"/>
          <w:sz w:val="18"/>
          <w:szCs w:val="18"/>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7(e)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80" w:lineRule="exact"/>
        <w:rPr>
          <w:rFonts w:ascii="Times New Roman" w:cs="Times New Roman" w:eastAsia="Times New Roman" w:hAnsi="Times New Roman"/>
          <w:sz w:val="18"/>
          <w:szCs w:val="18"/>
          <w:color w:val="auto"/>
        </w:rPr>
      </w:pPr>
    </w:p>
    <w:p>
      <w:pPr>
        <w:ind w:left="4" w:right="100" w:firstLine="419"/>
        <w:spacing w:after="0" w:line="224" w:lineRule="auto"/>
        <w:tabs>
          <w:tab w:leader="none" w:pos="65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by rounding to the nearest cent or the nearest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90" w:lineRule="exact"/>
        <w:rPr>
          <w:rFonts w:ascii="Times New Roman" w:cs="Times New Roman" w:eastAsia="Times New Roman" w:hAnsi="Times New Roman"/>
          <w:sz w:val="18"/>
          <w:szCs w:val="18"/>
          <w:color w:val="auto"/>
        </w:rPr>
      </w:pPr>
    </w:p>
    <w:p>
      <w:pPr>
        <w:jc w:val="both"/>
        <w:ind w:left="4" w:right="220" w:firstLine="419"/>
        <w:spacing w:after="0" w:line="261" w:lineRule="auto"/>
        <w:tabs>
          <w:tab w:leader="none" w:pos="68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Market, the Company may at any time during the term of this Note, with the prior written consent of the Required Holders (as defined in the Securities Purchase Agreement), reduce the then current Conversion Price of each of the Notes to any amount and for any period of time deemed appropriate by the board of directors of the Company.</w:t>
      </w:r>
    </w:p>
    <w:p>
      <w:pPr>
        <w:spacing w:after="0" w:line="7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PLACEMENT OPTIONAL REDEMPTION</w:t>
      </w:r>
    </w:p>
    <w:p>
      <w:pPr>
        <w:spacing w:after="0" w:line="113"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7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At any time from and after the earlier of (x) the date the Holder (the “</w:t>
      </w:r>
      <w:r>
        <w:rPr>
          <w:rFonts w:ascii="Times New Roman" w:cs="Times New Roman" w:eastAsia="Times New Roman" w:hAnsi="Times New Roman"/>
          <w:sz w:val="18"/>
          <w:szCs w:val="18"/>
          <w:b w:val="1"/>
          <w:bCs w:val="1"/>
          <w:color w:val="auto"/>
        </w:rPr>
        <w:t>Holder Subsequent Placement Notice Date</w:t>
      </w:r>
      <w:r>
        <w:rPr>
          <w:rFonts w:ascii="Times New Roman" w:cs="Times New Roman" w:eastAsia="Times New Roman" w:hAnsi="Times New Roman"/>
          <w:sz w:val="18"/>
          <w:szCs w:val="18"/>
          <w:color w:val="auto"/>
        </w:rPr>
        <w:t>”) becomes aware of the occurrence of a Subsequent Placement (as defined in the Securities Purchase Agreement) (in each case, other than with respect to Excluded Securities (as defined in the Securities Purchase Agreement)) (each, an “</w:t>
      </w:r>
      <w:r>
        <w:rPr>
          <w:rFonts w:ascii="Times New Roman" w:cs="Times New Roman" w:eastAsia="Times New Roman" w:hAnsi="Times New Roman"/>
          <w:sz w:val="18"/>
          <w:szCs w:val="18"/>
          <w:b w:val="1"/>
          <w:bCs w:val="1"/>
          <w:color w:val="auto"/>
        </w:rPr>
        <w:t>Eligible Subsequent Placement</w:t>
      </w:r>
      <w:r>
        <w:rPr>
          <w:rFonts w:ascii="Times New Roman" w:cs="Times New Roman" w:eastAsia="Times New Roman" w:hAnsi="Times New Roman"/>
          <w:sz w:val="18"/>
          <w:szCs w:val="18"/>
          <w:color w:val="auto"/>
        </w:rPr>
        <w:t>”), and (y) the time of consummation of such Eligible Subsequent Placement, the Holder shall have the right, in its sole discretion, to require that the Company redeem (each, a “</w:t>
      </w:r>
      <w:r>
        <w:rPr>
          <w:rFonts w:ascii="Times New Roman" w:cs="Times New Roman" w:eastAsia="Times New Roman" w:hAnsi="Times New Roman"/>
          <w:sz w:val="18"/>
          <w:szCs w:val="18"/>
          <w:b w:val="1"/>
          <w:bCs w:val="1"/>
          <w:color w:val="auto"/>
        </w:rPr>
        <w:t>Subsequent Placement Optional Redemption</w:t>
      </w:r>
      <w:r>
        <w:rPr>
          <w:rFonts w:ascii="Times New Roman" w:cs="Times New Roman" w:eastAsia="Times New Roman" w:hAnsi="Times New Roman"/>
          <w:sz w:val="18"/>
          <w:szCs w:val="18"/>
          <w:color w:val="auto"/>
        </w:rPr>
        <w:t>”) all, or any portion, of the Outstanding Amount under this Note not in excess of (together with any Subsequent Placement Optional Redemption Amount (as defined in the applicable other Note of the Holder) of any other Notes of the Holder) the Holder’s Holder Pro Rata Amount of 25% of the net proceeds of such Eligible Subsequent Placement (the “</w:t>
      </w:r>
      <w:r>
        <w:rPr>
          <w:rFonts w:ascii="Times New Roman" w:cs="Times New Roman" w:eastAsia="Times New Roman" w:hAnsi="Times New Roman"/>
          <w:sz w:val="18"/>
          <w:szCs w:val="18"/>
          <w:b w:val="1"/>
          <w:bCs w:val="1"/>
          <w:color w:val="auto"/>
        </w:rPr>
        <w:t>Eligible</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Subsequent Placement Optional Redemption</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4"/>
          </w:cols>
          <w:pgMar w:left="876" w:top="270" w:right="459" w:bottom="1440" w:gutter="0" w:footer="0" w:header="0"/>
        </w:sectPr>
      </w:pPr>
    </w:p>
    <w:bookmarkStart w:id="65" w:name="page66"/>
    <w:bookmarkEnd w:id="65"/>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w:t>
      </w:r>
      <w:r>
        <w:rPr>
          <w:rFonts w:ascii="Times New Roman" w:cs="Times New Roman" w:eastAsia="Times New Roman" w:hAnsi="Times New Roman"/>
          <w:sz w:val="18"/>
          <w:szCs w:val="18"/>
          <w:color w:val="auto"/>
        </w:rPr>
        <w:t>”) by delivering written notice thereof (an “</w:t>
      </w:r>
      <w:r>
        <w:rPr>
          <w:rFonts w:ascii="Times New Roman" w:cs="Times New Roman" w:eastAsia="Times New Roman" w:hAnsi="Times New Roman"/>
          <w:sz w:val="18"/>
          <w:szCs w:val="18"/>
          <w:b w:val="1"/>
          <w:bCs w:val="1"/>
          <w:color w:val="auto"/>
        </w:rPr>
        <w:t>Subsequent Placement Optional Redemption Notice</w:t>
      </w:r>
      <w:r>
        <w:rPr>
          <w:rFonts w:ascii="Times New Roman" w:cs="Times New Roman" w:eastAsia="Times New Roman" w:hAnsi="Times New Roman"/>
          <w:sz w:val="18"/>
          <w:szCs w:val="18"/>
          <w:color w:val="auto"/>
        </w:rPr>
        <w:t>”) to the Company.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notify the Holder in writing no later than five (5) Trading Days after the occurrence of any Eligible Subsequent Placement, which notice shall include (i) the sale price of each Eligible Subsequent Placement, (ii) the date of each Eligible Subsequent Placement and (iii) the aggregate gross proceeds of each Eligible Subsequent Placement.</w:t>
      </w:r>
    </w:p>
    <w:p>
      <w:pPr>
        <w:spacing w:after="0" w:line="72" w:lineRule="exact"/>
        <w:rPr>
          <w:sz w:val="20"/>
          <w:szCs w:val="20"/>
          <w:color w:val="auto"/>
        </w:rPr>
      </w:pPr>
    </w:p>
    <w:p>
      <w:pPr>
        <w:ind w:left="4" w:right="20" w:firstLine="419"/>
        <w:spacing w:after="0" w:line="253" w:lineRule="auto"/>
        <w:tabs>
          <w:tab w:leader="none" w:pos="68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Each Subsequent Placement Optional Redemption Notice shall indicate that all, or such applicable portion, as set forth in the applicable Subsequent Placement Optional Redemption Notice, of the Outstanding Amount of this Note (with a Subsequent Placement Optional Redemption Price not in excess of such applicable Eligible Subsequent Placement Optional Redemption Amount) the Holder is electing to have redeemed (the “</w:t>
      </w:r>
      <w:r>
        <w:rPr>
          <w:rFonts w:ascii="Times New Roman" w:cs="Times New Roman" w:eastAsia="Times New Roman" w:hAnsi="Times New Roman"/>
          <w:sz w:val="18"/>
          <w:szCs w:val="18"/>
          <w:b w:val="1"/>
          <w:bCs w:val="1"/>
          <w:color w:val="auto"/>
        </w:rPr>
        <w:t>Subsequent Placement Optional Redemption Amount</w:t>
      </w:r>
      <w:r>
        <w:rPr>
          <w:rFonts w:ascii="Times New Roman" w:cs="Times New Roman" w:eastAsia="Times New Roman" w:hAnsi="Times New Roman"/>
          <w:sz w:val="18"/>
          <w:szCs w:val="18"/>
          <w:color w:val="auto"/>
        </w:rPr>
        <w:t>”) and the date of such Subsequent Placement Optional Redemption (the “</w:t>
      </w:r>
      <w:r>
        <w:rPr>
          <w:rFonts w:ascii="Times New Roman" w:cs="Times New Roman" w:eastAsia="Times New Roman" w:hAnsi="Times New Roman"/>
          <w:sz w:val="18"/>
          <w:szCs w:val="18"/>
          <w:b w:val="1"/>
          <w:bCs w:val="1"/>
          <w:color w:val="auto"/>
        </w:rPr>
        <w:t>Subsequent Placement Optional Redemption Date</w:t>
      </w:r>
      <w:r>
        <w:rPr>
          <w:rFonts w:ascii="Times New Roman" w:cs="Times New Roman" w:eastAsia="Times New Roman" w:hAnsi="Times New Roman"/>
          <w:sz w:val="18"/>
          <w:szCs w:val="18"/>
          <w:color w:val="auto"/>
        </w:rPr>
        <w:t>”), which shall be the later of (x) the fifth (5th) Business Day after the date of the applicable Subsequent Placement Optional Redemption Notice and (y) the date of the consummation of such Eligible Subsequent Placement. The portion of the Outstanding Amount of this Note subject to redemption pursuant to this Section 8 shall be redeemed by the Company in cash at a price equal to 100% of the Subsequent Placement Optional Redemption Amount being redeemed as of the Subsequent Placement Optional Redemption Date (the “</w:t>
      </w:r>
      <w:r>
        <w:rPr>
          <w:rFonts w:ascii="Times New Roman" w:cs="Times New Roman" w:eastAsia="Times New Roman" w:hAnsi="Times New Roman"/>
          <w:sz w:val="18"/>
          <w:szCs w:val="18"/>
          <w:b w:val="1"/>
          <w:bCs w:val="1"/>
          <w:color w:val="auto"/>
        </w:rPr>
        <w:t>Subsequent Placement Optional Redemption Price</w:t>
      </w:r>
      <w:r>
        <w:rPr>
          <w:rFonts w:ascii="Times New Roman" w:cs="Times New Roman" w:eastAsia="Times New Roman" w:hAnsi="Times New Roman"/>
          <w:sz w:val="18"/>
          <w:szCs w:val="18"/>
          <w:color w:val="auto"/>
        </w:rPr>
        <w:t>”). Redemptions required by this Section 8 shall be made in accordance with the provisions of Section 13.</w:t>
      </w:r>
    </w:p>
    <w:p>
      <w:pPr>
        <w:spacing w:after="0" w:line="8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 OPTIONAL REDEMPTION</w:t>
      </w:r>
    </w:p>
    <w:p>
      <w:pPr>
        <w:spacing w:after="0" w:line="117"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67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At any time from and after the earlier of (x) the date the Holder becomes aware of the occurrence of an Asset Sale (as defined below)(including any insurance and condemnation proceeds thereof) (each, a “</w:t>
      </w:r>
      <w:r>
        <w:rPr>
          <w:rFonts w:ascii="Times New Roman" w:cs="Times New Roman" w:eastAsia="Times New Roman" w:hAnsi="Times New Roman"/>
          <w:sz w:val="18"/>
          <w:szCs w:val="18"/>
          <w:b w:val="1"/>
          <w:bCs w:val="1"/>
          <w:color w:val="auto"/>
        </w:rPr>
        <w:t>Holder Asset Sale Notice Date</w:t>
      </w:r>
      <w:r>
        <w:rPr>
          <w:rFonts w:ascii="Times New Roman" w:cs="Times New Roman" w:eastAsia="Times New Roman" w:hAnsi="Times New Roman"/>
          <w:sz w:val="18"/>
          <w:szCs w:val="18"/>
          <w:color w:val="auto"/>
        </w:rPr>
        <w:t>”) and (y) the time of consummation of an Asset Sale (other than sales of inventory and product in the ordinary course of business) (each, an “</w:t>
      </w:r>
      <w:r>
        <w:rPr>
          <w:rFonts w:ascii="Times New Roman" w:cs="Times New Roman" w:eastAsia="Times New Roman" w:hAnsi="Times New Roman"/>
          <w:sz w:val="18"/>
          <w:szCs w:val="18"/>
          <w:b w:val="1"/>
          <w:bCs w:val="1"/>
          <w:color w:val="auto"/>
        </w:rPr>
        <w:t>Eligible Asset Sale</w:t>
      </w:r>
      <w:r>
        <w:rPr>
          <w:rFonts w:ascii="Times New Roman" w:cs="Times New Roman" w:eastAsia="Times New Roman" w:hAnsi="Times New Roman"/>
          <w:sz w:val="18"/>
          <w:szCs w:val="18"/>
          <w:color w:val="auto"/>
        </w:rPr>
        <w:t>”), the Holder shall have the right, in its sole discretion, to require that the Company redeem (each an “</w:t>
      </w:r>
      <w:r>
        <w:rPr>
          <w:rFonts w:ascii="Times New Roman" w:cs="Times New Roman" w:eastAsia="Times New Roman" w:hAnsi="Times New Roman"/>
          <w:sz w:val="18"/>
          <w:szCs w:val="18"/>
          <w:b w:val="1"/>
          <w:bCs w:val="1"/>
          <w:color w:val="auto"/>
        </w:rPr>
        <w:t>Asset Sale Optional Redemption</w:t>
      </w:r>
      <w:r>
        <w:rPr>
          <w:rFonts w:ascii="Times New Roman" w:cs="Times New Roman" w:eastAsia="Times New Roman" w:hAnsi="Times New Roman"/>
          <w:sz w:val="18"/>
          <w:szCs w:val="18"/>
          <w:color w:val="auto"/>
        </w:rPr>
        <w:t>”) all, or any portion, of the Outstanding Amount under this Note not in excess of (together with any Asset Sale Optional Redemption Amount (as defined in the applicable other Note of the Holder) of any other Notes of the Holder) the Holder’s Holder Pro Rata Amount of 100% of the net proceeds (including any insurance and condemnation proceeds with respect thereto) of such Eligible Asset Sale (each, an “</w:t>
      </w:r>
      <w:r>
        <w:rPr>
          <w:rFonts w:ascii="Times New Roman" w:cs="Times New Roman" w:eastAsia="Times New Roman" w:hAnsi="Times New Roman"/>
          <w:sz w:val="18"/>
          <w:szCs w:val="18"/>
          <w:b w:val="1"/>
          <w:bCs w:val="1"/>
          <w:color w:val="auto"/>
        </w:rPr>
        <w:t>Eligible Asset Sale 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Amount</w:t>
      </w:r>
      <w:r>
        <w:rPr>
          <w:rFonts w:ascii="Times New Roman" w:cs="Times New Roman" w:eastAsia="Times New Roman" w:hAnsi="Times New Roman"/>
          <w:sz w:val="18"/>
          <w:szCs w:val="18"/>
          <w:color w:val="auto"/>
        </w:rPr>
        <w:t>”) by delivering written notice thereof (each, an “</w:t>
      </w:r>
      <w:r>
        <w:rPr>
          <w:rFonts w:ascii="Times New Roman" w:cs="Times New Roman" w:eastAsia="Times New Roman" w:hAnsi="Times New Roman"/>
          <w:sz w:val="18"/>
          <w:szCs w:val="18"/>
          <w:b w:val="1"/>
          <w:bCs w:val="1"/>
          <w:color w:val="auto"/>
        </w:rPr>
        <w:t>Asset Sale Optional Redemption Notice</w:t>
      </w:r>
      <w:r>
        <w:rPr>
          <w:rFonts w:ascii="Times New Roman" w:cs="Times New Roman" w:eastAsia="Times New Roman" w:hAnsi="Times New Roman"/>
          <w:sz w:val="18"/>
          <w:szCs w:val="18"/>
          <w:color w:val="auto"/>
        </w:rPr>
        <w:t>”, and each date thereof,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 Redemption Notice Date</w:t>
      </w:r>
      <w:r>
        <w:rPr>
          <w:rFonts w:ascii="Times New Roman" w:cs="Times New Roman" w:eastAsia="Times New Roman" w:hAnsi="Times New Roman"/>
          <w:sz w:val="18"/>
          <w:szCs w:val="18"/>
          <w:color w:val="auto"/>
        </w:rPr>
        <w:t>”) to the Company.</w:t>
      </w:r>
    </w:p>
    <w:p>
      <w:pPr>
        <w:spacing w:after="0" w:line="80" w:lineRule="exact"/>
        <w:rPr>
          <w:rFonts w:ascii="Times New Roman" w:cs="Times New Roman" w:eastAsia="Times New Roman" w:hAnsi="Times New Roman"/>
          <w:sz w:val="18"/>
          <w:szCs w:val="18"/>
          <w:color w:val="auto"/>
        </w:rPr>
      </w:pPr>
    </w:p>
    <w:p>
      <w:pPr>
        <w:jc w:val="both"/>
        <w:ind w:left="4" w:right="100" w:firstLine="419"/>
        <w:spacing w:after="0" w:line="261" w:lineRule="auto"/>
        <w:tabs>
          <w:tab w:leader="none" w:pos="68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Each Asset Sale Optional Redemption Notice shall indicate that all, or such applicable portion, as set forth in the applicable Asset Sale Optional Redemption Notice, of the Outstanding Amount of this Note (with an Asset Sale Optional Redemption Price not in excess of such applicable Eligible Asset Sale Optional Redemption Amount) the Holder is electing to have redeemed (each, an “</w:t>
      </w:r>
      <w:r>
        <w:rPr>
          <w:rFonts w:ascii="Times New Roman" w:cs="Times New Roman" w:eastAsia="Times New Roman" w:hAnsi="Times New Roman"/>
          <w:sz w:val="18"/>
          <w:szCs w:val="18"/>
          <w:b w:val="1"/>
          <w:bCs w:val="1"/>
          <w:color w:val="auto"/>
        </w:rPr>
        <w:t>Asset Sale 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Amount</w:t>
      </w:r>
      <w:r>
        <w:rPr>
          <w:rFonts w:ascii="Times New Roman" w:cs="Times New Roman" w:eastAsia="Times New Roman" w:hAnsi="Times New Roman"/>
          <w:sz w:val="18"/>
          <w:szCs w:val="18"/>
          <w:color w:val="auto"/>
        </w:rPr>
        <w:t>”) and the date of such Asset Sale Optional Redemption</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4"/>
          </w:cols>
          <w:pgMar w:left="876" w:top="266" w:right="459" w:bottom="1440" w:gutter="0" w:footer="0" w:header="0"/>
        </w:sectPr>
      </w:pPr>
    </w:p>
    <w:bookmarkStart w:id="66" w:name="page67"/>
    <w:bookmarkEnd w:id="66"/>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an “</w:t>
      </w:r>
      <w:r>
        <w:rPr>
          <w:rFonts w:ascii="Times New Roman" w:cs="Times New Roman" w:eastAsia="Times New Roman" w:hAnsi="Times New Roman"/>
          <w:sz w:val="18"/>
          <w:szCs w:val="18"/>
          <w:b w:val="1"/>
          <w:bCs w:val="1"/>
          <w:color w:val="auto"/>
        </w:rPr>
        <w:t>Asset Sale Optional Redemption Date</w:t>
      </w:r>
      <w:r>
        <w:rPr>
          <w:rFonts w:ascii="Times New Roman" w:cs="Times New Roman" w:eastAsia="Times New Roman" w:hAnsi="Times New Roman"/>
          <w:sz w:val="18"/>
          <w:szCs w:val="18"/>
          <w:color w:val="auto"/>
        </w:rPr>
        <w:t>”), which shall be the later of (x) the fifth (5th) Business Day after the date of the applicable Asset Sale Optional Redemption Notice and (y) the date of the consummation of such Eligible Asset Sale. The portion of the Outstanding Amount of this Note subject to redemption pursuant to this Section 9 shall be redeemed by the Company in cash at a price equal to the greater of (i) the Asset Sale Optional Redemption Amount being redeemed as of the Asset Sale Optional Redemption Date and (ii) the product of (1) the quotient of (A) the Asset Sale Optional Redemption Amount being redeemed divided by (b) the Alternate Conversion Price then in effect as of the Asset Sale Optional Redemption Date multiplied by (2) the greatest Closing Sale Price of the Common Stock on any Trading Day during the period commencing on the date immediately preceding such Asset Sale Redemption Notice Date and ending on the Trading Day immediately prior to the date the Company makes the entire payment required to be made under this Section 9 (each, an “</w:t>
      </w:r>
      <w:r>
        <w:rPr>
          <w:rFonts w:ascii="Times New Roman" w:cs="Times New Roman" w:eastAsia="Times New Roman" w:hAnsi="Times New Roman"/>
          <w:sz w:val="18"/>
          <w:szCs w:val="18"/>
          <w:b w:val="1"/>
          <w:bCs w:val="1"/>
          <w:color w:val="auto"/>
        </w:rPr>
        <w:t>Asset Sale Optional Redemption Price</w:t>
      </w:r>
      <w:r>
        <w:rPr>
          <w:rFonts w:ascii="Times New Roman" w:cs="Times New Roman" w:eastAsia="Times New Roman" w:hAnsi="Times New Roman"/>
          <w:sz w:val="18"/>
          <w:szCs w:val="18"/>
          <w:color w:val="auto"/>
        </w:rPr>
        <w:t>”). Redemptions required by this Section 9 shall be made in accordance with the provisions of Section 13.</w:t>
      </w:r>
    </w:p>
    <w:p>
      <w:pPr>
        <w:spacing w:after="0" w:line="84" w:lineRule="exact"/>
        <w:rPr>
          <w:sz w:val="20"/>
          <w:szCs w:val="20"/>
          <w:color w:val="auto"/>
        </w:rPr>
      </w:pPr>
    </w:p>
    <w:p>
      <w:pPr>
        <w:ind w:left="264" w:hanging="264"/>
        <w:spacing w:after="0"/>
        <w:tabs>
          <w:tab w:leader="none" w:pos="2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 AT THE COMPANY’S ELECTION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80" w:firstLine="419"/>
        <w:spacing w:after="0" w:line="254" w:lineRule="auto"/>
        <w:tabs>
          <w:tab w:leader="none" w:pos="67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Optional Redemption</w:t>
      </w:r>
      <w:r>
        <w:rPr>
          <w:rFonts w:ascii="Times New Roman" w:cs="Times New Roman" w:eastAsia="Times New Roman" w:hAnsi="Times New Roman"/>
          <w:sz w:val="18"/>
          <w:szCs w:val="18"/>
          <w:color w:val="auto"/>
        </w:rPr>
        <w:t>. At any time after Shoe Sale Closing Time (as defined below), the Company shall have the right to redeem all, but not less than all, of the Conversion Amount then remaining under this Note (the “</w:t>
      </w:r>
      <w:r>
        <w:rPr>
          <w:rFonts w:ascii="Times New Roman" w:cs="Times New Roman" w:eastAsia="Times New Roman" w:hAnsi="Times New Roman"/>
          <w:sz w:val="18"/>
          <w:szCs w:val="18"/>
          <w:b w:val="1"/>
          <w:bCs w:val="1"/>
          <w:color w:val="auto"/>
        </w:rPr>
        <w:t>Company Optional Redemption Amount</w:t>
      </w:r>
      <w:r>
        <w:rPr>
          <w:rFonts w:ascii="Times New Roman" w:cs="Times New Roman" w:eastAsia="Times New Roman" w:hAnsi="Times New Roman"/>
          <w:sz w:val="18"/>
          <w:szCs w:val="18"/>
          <w:color w:val="auto"/>
        </w:rPr>
        <w:t>”) on the Company Optional Redemption Date (each as defined below) (a “</w:t>
      </w:r>
      <w:r>
        <w:rPr>
          <w:rFonts w:ascii="Times New Roman" w:cs="Times New Roman" w:eastAsia="Times New Roman" w:hAnsi="Times New Roman"/>
          <w:sz w:val="18"/>
          <w:szCs w:val="18"/>
          <w:b w:val="1"/>
          <w:bCs w:val="1"/>
          <w:color w:val="auto"/>
        </w:rPr>
        <w:t>Company Optional Redemption</w:t>
      </w:r>
      <w:r>
        <w:rPr>
          <w:rFonts w:ascii="Times New Roman" w:cs="Times New Roman" w:eastAsia="Times New Roman" w:hAnsi="Times New Roman"/>
          <w:sz w:val="18"/>
          <w:szCs w:val="18"/>
          <w:color w:val="auto"/>
        </w:rPr>
        <w:t>”). The portion of this Note subject to redemption pursuant to this Section 10(a) shall be redeemed by the Company in cash at a price (the “</w:t>
      </w:r>
      <w:r>
        <w:rPr>
          <w:rFonts w:ascii="Times New Roman" w:cs="Times New Roman" w:eastAsia="Times New Roman" w:hAnsi="Times New Roman"/>
          <w:sz w:val="18"/>
          <w:szCs w:val="18"/>
          <w:b w:val="1"/>
          <w:bCs w:val="1"/>
          <w:color w:val="auto"/>
        </w:rPr>
        <w:t>Company Optional Redemption Price</w:t>
      </w:r>
      <w:r>
        <w:rPr>
          <w:rFonts w:ascii="Times New Roman" w:cs="Times New Roman" w:eastAsia="Times New Roman" w:hAnsi="Times New Roman"/>
          <w:sz w:val="18"/>
          <w:szCs w:val="18"/>
          <w:color w:val="auto"/>
        </w:rPr>
        <w:t>”) equal to 120% of the greater of (i) the Conversion Amount being redeemed as of the Company Optional Redemption Date and (ii) the product of</w:t>
      </w:r>
    </w:p>
    <w:p>
      <w:pPr>
        <w:spacing w:after="0" w:line="3"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Conversion Rate (assuming an Alternate Conversion) with respect to the Conversion Amount being redeemed as of the Company Optional Redemption Date multiplied by (2) the greatest Closing Sale Price of the Common Stock on any Trading Day during the period commencing on the date immediately preceding such Company Optional Redemption Notice Date and ending on the Trading Day immediately prior to the date the Company makes the entire payment required to be made under this Section 10(a). The Company may exercise its right to require redemption under this Section 10(a) by delivering a written notice thereof by electronic mail and overnight courier to all, but not less than all, of the holders of Notes (the “</w:t>
      </w:r>
      <w:r>
        <w:rPr>
          <w:rFonts w:ascii="Times New Roman" w:cs="Times New Roman" w:eastAsia="Times New Roman" w:hAnsi="Times New Roman"/>
          <w:sz w:val="18"/>
          <w:szCs w:val="18"/>
          <w:b w:val="1"/>
          <w:bCs w:val="1"/>
          <w:color w:val="auto"/>
        </w:rPr>
        <w:t>Company Optional Redemption Notice</w:t>
      </w:r>
      <w:r>
        <w:rPr>
          <w:rFonts w:ascii="Times New Roman" w:cs="Times New Roman" w:eastAsia="Times New Roman" w:hAnsi="Times New Roman"/>
          <w:sz w:val="18"/>
          <w:szCs w:val="18"/>
          <w:color w:val="auto"/>
        </w:rPr>
        <w:t>” and the date all of the holders of Notes received such notice is referred to as the “</w:t>
      </w:r>
      <w:r>
        <w:rPr>
          <w:rFonts w:ascii="Times New Roman" w:cs="Times New Roman" w:eastAsia="Times New Roman" w:hAnsi="Times New Roman"/>
          <w:sz w:val="18"/>
          <w:szCs w:val="18"/>
          <w:b w:val="1"/>
          <w:bCs w:val="1"/>
          <w:color w:val="auto"/>
        </w:rPr>
        <w:t>Company Optional Redemption Notice Date</w:t>
      </w:r>
      <w:r>
        <w:rPr>
          <w:rFonts w:ascii="Times New Roman" w:cs="Times New Roman" w:eastAsia="Times New Roman" w:hAnsi="Times New Roman"/>
          <w:sz w:val="18"/>
          <w:szCs w:val="18"/>
          <w:color w:val="auto"/>
        </w:rPr>
        <w:t>”). The Company may deliver only one Company Optional Redemption Notice hereunder and such Company Optional Redemption Notice shall be irrevocable. The Company Optional Redemption Notice shall (x) state the date on which the Company Optional Redemption shall occur (the “</w:t>
      </w:r>
      <w:r>
        <w:rPr>
          <w:rFonts w:ascii="Times New Roman" w:cs="Times New Roman" w:eastAsia="Times New Roman" w:hAnsi="Times New Roman"/>
          <w:sz w:val="18"/>
          <w:szCs w:val="18"/>
          <w:b w:val="1"/>
          <w:bCs w:val="1"/>
          <w:color w:val="auto"/>
        </w:rPr>
        <w:t>Company Optional Redemption Date</w:t>
      </w:r>
      <w:r>
        <w:rPr>
          <w:rFonts w:ascii="Times New Roman" w:cs="Times New Roman" w:eastAsia="Times New Roman" w:hAnsi="Times New Roman"/>
          <w:sz w:val="18"/>
          <w:szCs w:val="18"/>
          <w:color w:val="auto"/>
        </w:rPr>
        <w:t>”) which date shall not be less than ninety (90) Trading Days nor more than one hundred (100) Trading Days following the Company Optional Redemption Notice Date, (y) certify that there has been no Equity Conditions Failure and (z) state the aggregate Conversion Amount of the Notes which is being redeemed in such Company Optional Redemption from the Holder and all of the other holders of the Notes pursuant to this Section 10(a) (and analogous provisions under the Other Notes) on the Company Optional Redemption Date. Notwithstanding anything</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4"/>
          </w:cols>
          <w:pgMar w:left="876" w:top="266" w:right="459" w:bottom="1440" w:gutter="0" w:footer="0" w:header="0"/>
        </w:sectPr>
      </w:pPr>
    </w:p>
    <w:bookmarkStart w:id="67" w:name="page68"/>
    <w:bookmarkEnd w:id="67"/>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herein to the contrary, (i) if no Equity Conditions Failure has occurred as of the Company Optional Redemption Notice Date but an Equity Conditions Failure occurs at any time prior to the Company Optional Redemption Date, (A) the Company shall provide the Holder a subsequent notice to that effect and (B) unless the Holder waives the Equity Conditions Failure, the Company Optional Redemption shall be cancelled and the applicable Company Optional Redemption Notice shall be null and void and (ii) at any time prior to the date the Company Optional Redemption Price is paid, in full, the Company Optional Redemption Amount may be converted, in whole or in part, by the Holder into shares of Common Stock pursuant to Section 3. All Conversion Amounts converted by the Holder after the Company Optional Redemption Notice Date shall reduce the Company Optional Redemption Amount of this Note required to be redeemed on the Company Optional Redemption Date. Redemptions made pursuant to this Section 10(a) shall be made in accordance with Section 13. In the event of the Company’s redemption of any portion of this Note under this Section 10(a),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10(a) is intended by the parties to be, and shall be deemed, a reasonable estimate of the Holder’s actual loss of its investment opportunity and not as a penalty. For the avoidance of doubt, the Company shall have no right to effect a Company Optional Redemption if any Event of Default has occurred and continuing, but any Event of Default shall have no effect upon the Holder’s right to convert this Note in its discretion.</w:t>
      </w:r>
    </w:p>
    <w:p>
      <w:pPr>
        <w:spacing w:after="0" w:line="89" w:lineRule="exact"/>
        <w:rPr>
          <w:sz w:val="20"/>
          <w:szCs w:val="20"/>
          <w:color w:val="auto"/>
        </w:rPr>
      </w:pPr>
    </w:p>
    <w:p>
      <w:pPr>
        <w:ind w:left="440" w:right="860" w:firstLine="419"/>
        <w:spacing w:after="0" w:line="282" w:lineRule="auto"/>
        <w:tabs>
          <w:tab w:leader="none" w:pos="111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Redemption Requirement</w:t>
      </w:r>
      <w:r>
        <w:rPr>
          <w:rFonts w:ascii="Times New Roman" w:cs="Times New Roman" w:eastAsia="Times New Roman" w:hAnsi="Times New Roman"/>
          <w:sz w:val="18"/>
          <w:szCs w:val="18"/>
          <w:color w:val="auto"/>
        </w:rPr>
        <w:t>. If the Company elects to cause a Company Optional Redemption of this Note pursuant to Section 10(a), then it must simultaneously take the same action with respect to all of the Other Notes.</w:t>
      </w:r>
    </w:p>
    <w:p>
      <w:pPr>
        <w:spacing w:after="0" w:line="53" w:lineRule="exact"/>
        <w:rPr>
          <w:rFonts w:ascii="Times New Roman" w:cs="Times New Roman" w:eastAsia="Times New Roman" w:hAnsi="Times New Roman"/>
          <w:sz w:val="18"/>
          <w:szCs w:val="18"/>
          <w:color w:val="auto"/>
        </w:rPr>
      </w:pPr>
    </w:p>
    <w:p>
      <w:pPr>
        <w:ind w:right="40" w:firstLine="436"/>
        <w:spacing w:after="0" w:line="253" w:lineRule="auto"/>
        <w:tabs>
          <w:tab w:leader="none" w:pos="7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shares of Common Stock.</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68" w:name="page69"/>
    <w:bookmarkEnd w:id="68"/>
    <w:p>
      <w:pPr>
        <w:ind w:left="264" w:hanging="264"/>
        <w:spacing w:after="0"/>
        <w:tabs>
          <w:tab w:leader="none" w:pos="26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RESERVATION OF AUTHORIZED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80" w:firstLine="419"/>
        <w:spacing w:after="0" w:line="271" w:lineRule="auto"/>
        <w:tabs>
          <w:tab w:leader="none" w:pos="671"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w:t>
      </w:r>
      <w:r>
        <w:rPr>
          <w:rFonts w:ascii="Times New Roman" w:cs="Times New Roman" w:eastAsia="Times New Roman" w:hAnsi="Times New Roman"/>
          <w:sz w:val="17"/>
          <w:szCs w:val="17"/>
          <w:color w:val="auto"/>
        </w:rPr>
        <w:t>. So long as any Notes remain outstanding, the Company shall at all times reserve at least 100% of the number of shares of Common Stock as shall from time to time be necessary to effect the conversion, including without limitation, Alternate Conversions, of all of the Notes then outstanding (without regard to any limitations on conversions and assuming such Notes remain outstanding until the Maturity Date) at the Floor Price then in effect (the “</w:t>
      </w:r>
      <w:r>
        <w:rPr>
          <w:rFonts w:ascii="Times New Roman" w:cs="Times New Roman" w:eastAsia="Times New Roman" w:hAnsi="Times New Roman"/>
          <w:sz w:val="17"/>
          <w:szCs w:val="17"/>
          <w:b w:val="1"/>
          <w:bCs w:val="1"/>
          <w:color w:val="auto"/>
        </w:rPr>
        <w:t>Required Reserve Amount</w:t>
      </w:r>
      <w:r>
        <w:rPr>
          <w:rFonts w:ascii="Times New Roman" w:cs="Times New Roman" w:eastAsia="Times New Roman" w:hAnsi="Times New Roman"/>
          <w:sz w:val="17"/>
          <w:szCs w:val="17"/>
          <w:color w:val="auto"/>
        </w:rPr>
        <w:t>”). The Required Reserve Amount (including, without limitation, each increase in the number of shares so reserved) shall be allocated pro rata among the holders of the Notes based on the original principal amount of the Notes held by each holder on the Applicable Closing Date or increase in the number of reserved shares, as the case may be (the “</w:t>
      </w:r>
      <w:r>
        <w:rPr>
          <w:rFonts w:ascii="Times New Roman" w:cs="Times New Roman" w:eastAsia="Times New Roman" w:hAnsi="Times New Roman"/>
          <w:sz w:val="17"/>
          <w:szCs w:val="17"/>
          <w:b w:val="1"/>
          <w:bCs w:val="1"/>
          <w:color w:val="auto"/>
        </w:rPr>
        <w:t>Authorized 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Allocation</w:t>
      </w:r>
      <w:r>
        <w:rPr>
          <w:rFonts w:ascii="Times New Roman" w:cs="Times New Roman" w:eastAsia="Times New Roman" w:hAnsi="Times New Roman"/>
          <w:sz w:val="17"/>
          <w:szCs w:val="17"/>
          <w:color w:val="auto"/>
        </w:rPr>
        <w:t>”). In the event that a holder shall sell or otherwise transfer any of such holder’s Notes, each transferee shall be allocated a pro rata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65" w:lineRule="exact"/>
        <w:rPr>
          <w:rFonts w:ascii="Times New Roman" w:cs="Times New Roman" w:eastAsia="Times New Roman" w:hAnsi="Times New Roman"/>
          <w:sz w:val="17"/>
          <w:szCs w:val="17"/>
          <w:color w:val="auto"/>
        </w:rPr>
      </w:pPr>
    </w:p>
    <w:p>
      <w:pPr>
        <w:ind w:left="4" w:firstLine="419"/>
        <w:spacing w:after="0" w:line="252" w:lineRule="auto"/>
        <w:tabs>
          <w:tab w:leader="none" w:pos="68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12(a), and not in limitation thereof, at any time while any of the Notes remain outstanding the Company does not have a sufficient number of authorized and unreserved shares of Common Stock to satisfy its obligation to reserve for issuance upon conversion of the Notes at least a number of shares of Common Stock equal to the Required Reserve Amount (an “</w:t>
      </w:r>
      <w:r>
        <w:rPr>
          <w:rFonts w:ascii="Times New Roman" w:cs="Times New Roman" w:eastAsia="Times New Roman" w:hAnsi="Times New Roman"/>
          <w:sz w:val="18"/>
          <w:szCs w:val="18"/>
          <w:b w:val="1"/>
          <w:bCs w:val="1"/>
          <w:color w:val="auto"/>
        </w:rPr>
        <w:t>Authorized 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pursuant to the terms of this Note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Authorized Failure Shares</w:t>
      </w:r>
      <w:r>
        <w:rPr>
          <w:rFonts w:ascii="Times New Roman" w:cs="Times New Roman" w:eastAsia="Times New Roman" w:hAnsi="Times New Roman"/>
          <w:sz w:val="18"/>
          <w:szCs w:val="18"/>
          <w:color w:val="auto"/>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Closing Sale Price of the Common Stock on any Trading Day during the period commencing on the date the Holder delivers the applicable Conversion Notice with respect to such Authorized Failure Shares to the Company and ending on the date of such issuance and payment under this Section 12(a); and (ii) to the extent the Holder purchases (in an open market transaction or otherwise) shares of Common Stock to deliver in satisfaction of a sale by the Holder of Authorized Failure Shares, any brokerage commissions and other out-of-pocket expenses, if any, of the Holder incurred in connection therewith. Nothing contained in Section 12(a) or this Section 12(b) shall limit any obligations of the Company under any provision of the Securities Purchase Agreement.</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4"/>
          </w:cols>
          <w:pgMar w:left="876" w:top="270" w:right="459" w:bottom="1440" w:gutter="0" w:footer="0" w:header="0"/>
        </w:sectPr>
      </w:pPr>
    </w:p>
    <w:bookmarkStart w:id="69" w:name="page70"/>
    <w:bookmarkEnd w:id="69"/>
    <w:p>
      <w:pPr>
        <w:ind w:left="264" w:hanging="264"/>
        <w:spacing w:after="0"/>
        <w:tabs>
          <w:tab w:leader="none" w:pos="2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1" w:lineRule="auto"/>
        <w:tabs>
          <w:tab w:leader="none" w:pos="67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The Company shall deliver the applicable Event of Default Redemption Price to the Holder in cash within five (5) Business Days after the Company’s receipt of the Holder’s Event of Default Redemption Notice. If the Holder has submitted a Change of Control Redemption Notice in accordance with Section 5(b),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The Company shall deliver the applicable Company Optional Redemption Price to the Holder in cash on the applicable Company Optional Redemption Date. The Company shall deliver the applicable Asset Sale Optional Redemption Price to the Holder in cash on the applicable Asset Sale Optional Redemption Date. The Company shall deliver the applicable Subsequent Placement Optional Redemption Price to the Holder in cash on the applicable Subsequent Placement Optional Redemption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20(d))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Section 20(d)), to the Holder, and in each case the principal amount of this Note or such new Note (as the case may be) shall be increased by an amount equal to the difference between (1) the applicable Redemption Price (as the case may be, and as adjusted pursuant to this Section 13, if applicable) minus (2) the Principal portion of the 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(B) greater of (x) the Floor Price and (y) 75% of the lowest Closing Bid</w:t>
      </w:r>
    </w:p>
    <w:p>
      <w:pPr>
        <w:spacing w:after="0" w:line="13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4"/>
          </w:cols>
          <w:pgMar w:left="876" w:top="270" w:right="459" w:bottom="1440" w:gutter="0" w:footer="0" w:header="0"/>
        </w:sectPr>
      </w:pPr>
    </w:p>
    <w:bookmarkStart w:id="70" w:name="page71"/>
    <w:bookmarkEnd w:id="70"/>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Price of the Common Stock during the period beginning on and including the date on which the applicable Redemption Notice is delivered to the Company and ending on and including the date on which the applicable Redemption Notice is voided and (C) greater of (x) the Floor Price and (y) 75% of the quotient of (I) the sum of the five (5) lowest VWAPs of the Common Stock during the twenty (20) consecutive Trading Day period ending and including the applicable Conversion Date divided by (II) five (5) (it being understood and agreed that all such determinations shall be appropriately adjusted for any stock dividend, stock split, stock combination or other similar transaction during such period).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84" w:lineRule="exact"/>
        <w:rPr>
          <w:sz w:val="20"/>
          <w:szCs w:val="20"/>
          <w:color w:val="auto"/>
        </w:rPr>
      </w:pPr>
    </w:p>
    <w:p>
      <w:pPr>
        <w:ind w:left="440" w:right="40" w:firstLine="419"/>
        <w:spacing w:after="0" w:line="253" w:lineRule="auto"/>
        <w:tabs>
          <w:tab w:leader="none" w:pos="111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by Other Holders</w:t>
      </w:r>
      <w:r>
        <w:rPr>
          <w:rFonts w:ascii="Times New Roman" w:cs="Times New Roman" w:eastAsia="Times New Roman" w:hAnsi="Times New Roman"/>
          <w:sz w:val="18"/>
          <w:szCs w:val="18"/>
          <w:color w:val="auto"/>
        </w:rPr>
        <w:t>. Upon the Company’s receipt of notice from any of the holders of the Other Notes for redemption or repayment as a result of an event or occurrence substantially similar to the events or occurrences described in Section 4(b) or Section 5(b) (each, an “</w:t>
      </w:r>
      <w:r>
        <w:rPr>
          <w:rFonts w:ascii="Times New Roman" w:cs="Times New Roman" w:eastAsia="Times New Roman" w:hAnsi="Times New Roman"/>
          <w:sz w:val="18"/>
          <w:szCs w:val="18"/>
          <w:b w:val="1"/>
          <w:bCs w:val="1"/>
          <w:color w:val="auto"/>
        </w:rPr>
        <w:t>Other Redemption Notice</w:t>
      </w:r>
      <w:r>
        <w:rPr>
          <w:rFonts w:ascii="Times New Roman" w:cs="Times New Roman" w:eastAsia="Times New Roman" w:hAnsi="Times New Roman"/>
          <w:sz w:val="18"/>
          <w:szCs w:val="18"/>
          <w:color w:val="auto"/>
        </w:rPr>
        <w:t>”), the Company shall immediately, but no later than one (1) Business Day of its receipt thereof, forward to the Holder by facsimile or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spacing w:after="0" w:line="191" w:lineRule="exact"/>
        <w:rPr>
          <w:rFonts w:ascii="Times New Roman" w:cs="Times New Roman" w:eastAsia="Times New Roman" w:hAnsi="Times New Roman"/>
          <w:sz w:val="18"/>
          <w:szCs w:val="18"/>
          <w:color w:val="auto"/>
        </w:rPr>
      </w:pPr>
    </w:p>
    <w:p>
      <w:pPr>
        <w:ind w:right="40" w:firstLine="436"/>
        <w:spacing w:after="0" w:line="282" w:lineRule="auto"/>
        <w:tabs>
          <w:tab w:leader="none" w:pos="71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shall have no voting rights as the holder of this Note, except as required by law (including, without limitation, the Delaware General Corporation Law) and as expressly provided in this Note.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Until all of the Notes have been converted, redeemed or otherwise satisfied in accordance with their terms:</w:t>
      </w:r>
    </w:p>
    <w:p>
      <w:pPr>
        <w:spacing w:after="0" w:line="115" w:lineRule="exact"/>
        <w:rPr>
          <w:rFonts w:ascii="Times New Roman" w:cs="Times New Roman" w:eastAsia="Times New Roman" w:hAnsi="Times New Roman"/>
          <w:sz w:val="18"/>
          <w:szCs w:val="18"/>
          <w:color w:val="auto"/>
        </w:rPr>
      </w:pPr>
    </w:p>
    <w:p>
      <w:pPr>
        <w:ind w:left="440" w:right="60" w:firstLine="419"/>
        <w:spacing w:after="0" w:line="284" w:lineRule="auto"/>
        <w:tabs>
          <w:tab w:leader="none" w:pos="110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xml:space="preserve">. All payments due under this Note (a)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Notes and (b) shall be senior to all other Indebtedness of the Company and its Subsidiaries (other than Permitted Senior Indebtedness solely with respect to Permitted Senior Indebtedness Collateral).</w:t>
      </w:r>
    </w:p>
    <w:p>
      <w:pPr>
        <w:spacing w:after="0" w:line="52"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Incurrence of Indebtedness</w:t>
      </w:r>
      <w:r>
        <w:rPr>
          <w:rFonts w:ascii="Times New Roman" w:cs="Times New Roman" w:eastAsia="Times New Roman" w:hAnsi="Times New Roman"/>
          <w:sz w:val="18"/>
          <w:szCs w:val="18"/>
          <w:color w:val="auto"/>
        </w:rPr>
        <w:t>. The Company shall not, and the Company shall cause each of its Subsidiaries to not, directly or indirectly, incur or guarantee, assume or suffer to exist any Indebtedness (other than (i) the Indebtedness evidenced by this Note and the Other Notes and (ii) other Permitted Indebtedness).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71" w:name="page72"/>
    <w:bookmarkEnd w:id="71"/>
    <w:p>
      <w:pPr>
        <w:ind w:left="4" w:right="40" w:firstLine="419"/>
        <w:spacing w:after="0" w:line="266" w:lineRule="auto"/>
        <w:tabs>
          <w:tab w:leader="none" w:pos="67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Existence of Liens</w:t>
      </w:r>
      <w:r>
        <w:rPr>
          <w:rFonts w:ascii="Times New Roman" w:cs="Times New Roman" w:eastAsia="Times New Roman" w:hAnsi="Times New Roman"/>
          <w:sz w:val="18"/>
          <w:szCs w:val="18"/>
          <w:color w:val="auto"/>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other than Permitted Liens.</w:t>
      </w:r>
    </w:p>
    <w:p>
      <w:pPr>
        <w:spacing w:after="0" w:line="6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8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Payments and Investments</w:t>
      </w:r>
      <w:r>
        <w:rPr>
          <w:rFonts w:ascii="Times New Roman" w:cs="Times New Roman" w:eastAsia="Times New Roman" w:hAnsi="Times New Roman"/>
          <w:sz w:val="18"/>
          <w:szCs w:val="18"/>
          <w:color w:val="auto"/>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or the Permitted Senior Indebtedness)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spacing w:after="0" w:line="83" w:lineRule="exact"/>
        <w:rPr>
          <w:rFonts w:ascii="Times New Roman" w:cs="Times New Roman" w:eastAsia="Times New Roman" w:hAnsi="Times New Roman"/>
          <w:sz w:val="18"/>
          <w:szCs w:val="18"/>
          <w:color w:val="auto"/>
        </w:rPr>
      </w:pPr>
    </w:p>
    <w:p>
      <w:pPr>
        <w:ind w:left="4" w:firstLine="419"/>
        <w:spacing w:after="0" w:line="266" w:lineRule="auto"/>
        <w:tabs>
          <w:tab w:leader="none" w:pos="67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The Company shall not, and the Company shall cause each of its Subsidiaries to not, directly or indirectly, redeem, repurchase or declare or pay any cash dividend or distribution on any of its capital stock (other than as contemplated by the Shoe Business Sale).</w:t>
      </w:r>
    </w:p>
    <w:p>
      <w:pPr>
        <w:spacing w:after="0" w:line="67" w:lineRule="exact"/>
        <w:rPr>
          <w:rFonts w:ascii="Times New Roman" w:cs="Times New Roman" w:eastAsia="Times New Roman" w:hAnsi="Times New Roman"/>
          <w:sz w:val="18"/>
          <w:szCs w:val="18"/>
          <w:color w:val="auto"/>
        </w:rPr>
      </w:pPr>
    </w:p>
    <w:p>
      <w:pPr>
        <w:ind w:left="4" w:right="100" w:firstLine="419"/>
        <w:spacing w:after="0" w:line="254" w:lineRule="auto"/>
        <w:tabs>
          <w:tab w:leader="none" w:pos="65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Transfer of Assets</w:t>
      </w:r>
      <w:r>
        <w:rPr>
          <w:rFonts w:ascii="Times New Roman" w:cs="Times New Roman" w:eastAsia="Times New Roman" w:hAnsi="Times New Roman"/>
          <w:sz w:val="18"/>
          <w:szCs w:val="18"/>
          <w:color w:val="auto"/>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(ii) any of (x) the Shoe Business Sale, (y) the sale or disposition of inventory of the shoe business and</w:t>
      </w:r>
    </w:p>
    <w:p>
      <w:pPr>
        <w:spacing w:after="0" w:line="3" w:lineRule="exact"/>
        <w:rPr>
          <w:rFonts w:ascii="Times New Roman" w:cs="Times New Roman" w:eastAsia="Times New Roman" w:hAnsi="Times New Roman"/>
          <w:sz w:val="18"/>
          <w:szCs w:val="18"/>
          <w:color w:val="auto"/>
        </w:rPr>
      </w:pPr>
    </w:p>
    <w:p>
      <w:pPr>
        <w:ind w:left="4" w:right="600" w:hanging="4"/>
        <w:spacing w:after="0" w:line="260" w:lineRule="auto"/>
        <w:tabs>
          <w:tab w:leader="none" w:pos="24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related to the shoe business as specified on Schedule 15(f) and (iii) sales of inventory and product in the ordinary course of business (each, an “</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 w:right="120" w:firstLine="419"/>
        <w:spacing w:after="0" w:line="266" w:lineRule="auto"/>
        <w:tabs>
          <w:tab w:leader="none" w:pos="68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of Indebtedness</w:t>
      </w:r>
      <w:r>
        <w:rPr>
          <w:rFonts w:ascii="Times New Roman" w:cs="Times New Roman" w:eastAsia="Times New Roman" w:hAnsi="Times New Roman"/>
          <w:sz w:val="18"/>
          <w:szCs w:val="18"/>
          <w:color w:val="auto"/>
        </w:rPr>
        <w:t>. [INSERT IN INITIAL NOTES ONLY: Commencing immediately after the Shoe Sale Closing Time, the] [INSERT IN THE ADDITIONAL NOTES ONLY: The] Company shall not, and the Company shall cause each of its Subsidiaries to not, directly or indirectly, permit any Indebtedness of the Company or any of its Subsidiaries to mature or accelerate prior to the Maturity Date.</w:t>
      </w:r>
    </w:p>
    <w:p>
      <w:pPr>
        <w:spacing w:after="0" w:line="67"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68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[INSERT IN INITIAL NOTES ONLY: Commencing immediately after the Shoe Sale Closing Time, the] [INSERT IN THE ADDITIONAL NOTES ONLY: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substantially related or incidental thereto. The Company shall not, and the Company shall cause each of its Subsidiaries to not, directly or indirectly, modify its or their corporate structure or purpose.</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4"/>
          </w:cols>
          <w:pgMar w:left="876" w:top="270" w:right="459" w:bottom="1440" w:gutter="0" w:footer="0" w:header="0"/>
        </w:sectPr>
      </w:pPr>
    </w:p>
    <w:bookmarkStart w:id="72" w:name="page73"/>
    <w:bookmarkEnd w:id="72"/>
    <w:p>
      <w:pPr>
        <w:jc w:val="both"/>
        <w:ind w:right="80" w:firstLine="419"/>
        <w:spacing w:after="0" w:line="258" w:lineRule="auto"/>
        <w:tabs>
          <w:tab w:leader="none" w:pos="63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Preservation of Existence, Etc.</w:t>
      </w:r>
      <w:r>
        <w:rPr>
          <w:rFonts w:ascii="Times New Roman" w:cs="Times New Roman" w:eastAsia="Times New Roman" w:hAnsi="Times New Roman"/>
          <w:sz w:val="18"/>
          <w:szCs w:val="18"/>
          <w:color w:val="auto"/>
        </w:rPr>
        <w:t xml:space="preserve"> [INSERT IN INITIAL NOTES ONLY: Commencing immediately after the Shoe Sale Closing Time, the] [INSERT IN THE ADDITIONAL NOTES ONLY: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75" w:lineRule="exact"/>
        <w:rPr>
          <w:rFonts w:ascii="Times New Roman" w:cs="Times New Roman" w:eastAsia="Times New Roman" w:hAnsi="Times New Roman"/>
          <w:sz w:val="18"/>
          <w:szCs w:val="18"/>
          <w:color w:val="auto"/>
        </w:rPr>
      </w:pPr>
    </w:p>
    <w:p>
      <w:pPr>
        <w:ind w:right="140" w:firstLine="419"/>
        <w:spacing w:after="0" w:line="256" w:lineRule="auto"/>
        <w:tabs>
          <w:tab w:leader="none" w:pos="63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xml:space="preserve"> [INSERT IN INITIAL NOTES ONLY: Commencing immediately after the Shoe Sale Closing Time (or as of the Issuance Date with respect to assets purchased with the proceeds of the Initial Notes), the][INSERT IN THE ADDITIONAL NOTES ONLY: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79" w:lineRule="exact"/>
        <w:rPr>
          <w:rFonts w:ascii="Times New Roman" w:cs="Times New Roman" w:eastAsia="Times New Roman" w:hAnsi="Times New Roman"/>
          <w:sz w:val="18"/>
          <w:szCs w:val="18"/>
          <w:color w:val="auto"/>
        </w:rPr>
      </w:pPr>
    </w:p>
    <w:p>
      <w:pPr>
        <w:jc w:val="both"/>
        <w:ind w:firstLine="419"/>
        <w:spacing w:after="0" w:line="261" w:lineRule="auto"/>
        <w:tabs>
          <w:tab w:leader="none" w:pos="6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Intellectual Property</w:t>
      </w:r>
      <w:r>
        <w:rPr>
          <w:rFonts w:ascii="Times New Roman" w:cs="Times New Roman" w:eastAsia="Times New Roman" w:hAnsi="Times New Roman"/>
          <w:sz w:val="18"/>
          <w:szCs w:val="18"/>
          <w:color w:val="auto"/>
        </w:rPr>
        <w:t>. [INSERT IN INITIAL NOTES ONLY: Commencing immediately after the Shoe Sale Closing Time, the][INSERT IN THE ADDITIONAL NOTES ONLY: The] the Company will, and will cause each of its Subsidiaries to, take all action necessary or advisable to maintain all of the Intellectual Property Rights (as defined in the Securities Purchase Agreement) of the Company and/or any of its Subsidiaries that are necessary or material to the conduct of its business in full force and effect.</w:t>
      </w:r>
    </w:p>
    <w:p>
      <w:pPr>
        <w:spacing w:after="0" w:line="71" w:lineRule="exact"/>
        <w:rPr>
          <w:rFonts w:ascii="Times New Roman" w:cs="Times New Roman" w:eastAsia="Times New Roman" w:hAnsi="Times New Roman"/>
          <w:sz w:val="18"/>
          <w:szCs w:val="18"/>
          <w:color w:val="auto"/>
        </w:rPr>
      </w:pPr>
    </w:p>
    <w:p>
      <w:pPr>
        <w:ind w:right="180" w:firstLine="419"/>
        <w:spacing w:after="0" w:line="258" w:lineRule="auto"/>
        <w:tabs>
          <w:tab w:leader="none" w:pos="63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75" w:lineRule="exact"/>
        <w:rPr>
          <w:rFonts w:ascii="Times New Roman" w:cs="Times New Roman" w:eastAsia="Times New Roman" w:hAnsi="Times New Roman"/>
          <w:sz w:val="18"/>
          <w:szCs w:val="18"/>
          <w:color w:val="auto"/>
        </w:rPr>
      </w:pPr>
    </w:p>
    <w:p>
      <w:pPr>
        <w:ind w:right="40" w:firstLine="419"/>
        <w:spacing w:after="0" w:line="255" w:lineRule="auto"/>
        <w:tabs>
          <w:tab w:leader="none" w:pos="72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disclosed in the Company’s Annual Report on Form 10-K, for the period ended December 31, 2025 under the section titled “Transactions with Related Persons.”, and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40"/>
          </w:cols>
          <w:pgMar w:left="880" w:top="270" w:right="479" w:bottom="1440" w:gutter="0" w:footer="0" w:header="0"/>
        </w:sectPr>
      </w:pPr>
    </w:p>
    <w:bookmarkStart w:id="73" w:name="page74"/>
    <w:bookmarkEnd w:id="73"/>
    <w:p>
      <w:pPr>
        <w:ind w:left="4" w:firstLine="419"/>
        <w:spacing w:after="0" w:line="276" w:lineRule="auto"/>
        <w:tabs>
          <w:tab w:leader="none" w:pos="681"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Issuances</w:t>
      </w:r>
      <w:r>
        <w:rPr>
          <w:rFonts w:ascii="Times New Roman" w:cs="Times New Roman" w:eastAsia="Times New Roman" w:hAnsi="Times New Roman"/>
          <w:sz w:val="17"/>
          <w:szCs w:val="17"/>
          <w:color w:val="auto"/>
        </w:rPr>
        <w:t>. The Company shall not, directly or indirectly, without the prior written consent of the Required Holders (as defined in the Securities Purchase Agreement), (i) issue any Notes (other than as contemplated by the Securities Purchase Agreement and the Notes) or</w:t>
      </w:r>
    </w:p>
    <w:p>
      <w:pPr>
        <w:ind w:left="264" w:hanging="264"/>
        <w:spacing w:after="0"/>
        <w:tabs>
          <w:tab w:leader="none" w:pos="2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other securities that would cause a breach or default under the Notes.</w:t>
      </w:r>
    </w:p>
    <w:p>
      <w:pPr>
        <w:spacing w:after="0" w:line="98" w:lineRule="exact"/>
        <w:rPr>
          <w:rFonts w:ascii="Times New Roman" w:cs="Times New Roman" w:eastAsia="Times New Roman" w:hAnsi="Times New Roman"/>
          <w:sz w:val="18"/>
          <w:szCs w:val="18"/>
          <w:color w:val="auto"/>
        </w:rPr>
      </w:pPr>
    </w:p>
    <w:p>
      <w:pPr>
        <w:ind w:left="4" w:right="60" w:firstLine="419"/>
        <w:spacing w:after="0" w:line="253" w:lineRule="auto"/>
        <w:tabs>
          <w:tab w:leader="none" w:pos="68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Subsidiaries</w:t>
      </w:r>
      <w:r>
        <w:rPr>
          <w:rFonts w:ascii="Times New Roman" w:cs="Times New Roman" w:eastAsia="Times New Roman" w:hAnsi="Times New Roman"/>
          <w:sz w:val="18"/>
          <w:szCs w:val="18"/>
          <w:color w:val="auto"/>
        </w:rPr>
        <w:t>. Simultaneously with the acquisition or formation of each New Subsidiary, the Company shall cause such New Subsidiary to execute, and deliver to each holder of Notes, all Security Documents (as defined in the Securities Purchase Agreement) and Guaranties (as defined in the Securities Purchase Agreement) as requested by the Collateral Agent or the Required Holders, as applicable. The Company shall also deliver to the Collateral Agent an opinion of counsel to such New Subsidiary that is reasonably satisfactory to the Collateral Agent and the Required Holders covering such legal matters with respect to such New Subsidiary becoming a guarantor of the Company’s obligations, executing and delivering the Security Document and the Guaranties and any other matters that the Collateral Agent or the Required Holders may reasonably request. The Company shall deliver, or cause the applicable Subsidiary to deliver to the Collateral Agent, each of the physical stock certificates of such New Subsidiary, along with undated stock powers for each such certificates, executed in blank (or, if any such shares of capital stock are uncertificated, confirmation and evidence reasonably satisfactory to the Collateral Agent and the Required Holders that the security interest in such uncertificated securities has been transferred to and perfected by the Collateral Agent, in accordance with Sections 8-313, 8-321 and 9-115 of the Uniform Commercial Code or any other similar or local or foreign law that may be applicable).</w:t>
      </w:r>
    </w:p>
    <w:p>
      <w:pPr>
        <w:spacing w:after="0" w:line="83" w:lineRule="exact"/>
        <w:rPr>
          <w:rFonts w:ascii="Times New Roman" w:cs="Times New Roman" w:eastAsia="Times New Roman" w:hAnsi="Times New Roman"/>
          <w:sz w:val="18"/>
          <w:szCs w:val="18"/>
          <w:color w:val="auto"/>
        </w:rPr>
      </w:pPr>
    </w:p>
    <w:p>
      <w:pPr>
        <w:ind w:left="4" w:firstLine="419"/>
        <w:spacing w:after="0" w:line="254" w:lineRule="auto"/>
        <w:tabs>
          <w:tab w:leader="none" w:pos="68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Collateral; Collateral Records</w:t>
      </w:r>
      <w:r>
        <w:rPr>
          <w:rFonts w:ascii="Times New Roman" w:cs="Times New Roman" w:eastAsia="Times New Roman" w:hAnsi="Times New Roman"/>
          <w:sz w:val="18"/>
          <w:szCs w:val="18"/>
          <w:color w:val="auto"/>
        </w:rPr>
        <w:t>. The Company shall (i) give the Collateral Agent not less than thirty (30) days’ prior written notice of any change in the location of any Collateral (as defined in the Security Documents), other than to locations set forth in the Perfection Certificate (as defined in the Securities Purchase Agreement) hereto and with respect to which the Collateral Agent has filed financing statements and otherwise fully perfected its Liens thereon, (ii) advise the Collateral Agent promptly, in sufficient detail, of any material adverse change relating to the type, quantity or quality of the Collateral or the Lien granted thereon and (iii) execute and deliver, and cause each of its Subsidiaries to execute and deliver, to the Collateral Agent for the benefit of the Holder and holders of the Other Notes from time to time, solely for the Collateral Agent’s convenience in maintaining a record of Collateral, such written statements and schedules as the Collateral Agent or any Holder may reasonably require, designating, identifying or describing the Collateral.</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44"/>
          </w:cols>
          <w:pgMar w:left="876" w:top="270" w:right="479" w:bottom="1440" w:gutter="0" w:footer="0" w:header="0"/>
        </w:sectPr>
      </w:pPr>
    </w:p>
    <w:bookmarkStart w:id="74" w:name="page75"/>
    <w:bookmarkEnd w:id="74"/>
    <w:p>
      <w:pPr>
        <w:ind w:firstLine="419"/>
        <w:spacing w:after="0" w:line="258" w:lineRule="auto"/>
        <w:tabs>
          <w:tab w:leader="none" w:pos="67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Stay, Extension and Usury Laws</w:t>
      </w:r>
      <w:r>
        <w:rPr>
          <w:rFonts w:ascii="Times New Roman" w:cs="Times New Roman" w:eastAsia="Times New Roman" w:hAnsi="Times New Roman"/>
          <w:sz w:val="18"/>
          <w:szCs w:val="18"/>
          <w:color w:val="auto"/>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75" w:lineRule="exact"/>
        <w:rPr>
          <w:rFonts w:ascii="Times New Roman" w:cs="Times New Roman" w:eastAsia="Times New Roman" w:hAnsi="Times New Roman"/>
          <w:sz w:val="18"/>
          <w:szCs w:val="18"/>
          <w:color w:val="auto"/>
        </w:rPr>
      </w:pPr>
    </w:p>
    <w:p>
      <w:pPr>
        <w:ind w:right="40" w:firstLine="419"/>
        <w:spacing w:after="0" w:line="254" w:lineRule="auto"/>
        <w:tabs>
          <w:tab w:leader="none" w:pos="6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spacing w:after="0" w:line="8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Covenants; Announcement of Operating Results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15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Liquidity Test</w:t>
      </w:r>
      <w:r>
        <w:rPr>
          <w:rFonts w:ascii="Times New Roman" w:cs="Times New Roman" w:eastAsia="Times New Roman" w:hAnsi="Times New Roman"/>
          <w:sz w:val="18"/>
          <w:szCs w:val="18"/>
          <w:color w:val="auto"/>
        </w:rPr>
        <w:t>. At any time any Notes remain outstanding, the Company’s Available Cash as of the last calendar day in each Fiscal Quarter (each, a “</w:t>
      </w:r>
      <w:r>
        <w:rPr>
          <w:rFonts w:ascii="Times New Roman" w:cs="Times New Roman" w:eastAsia="Times New Roman" w:hAnsi="Times New Roman"/>
          <w:sz w:val="18"/>
          <w:szCs w:val="18"/>
          <w:b w:val="1"/>
          <w:bCs w:val="1"/>
          <w:color w:val="auto"/>
        </w:rPr>
        <w:t>Fiscal Period Measuring Date</w:t>
      </w:r>
      <w:r>
        <w:rPr>
          <w:rFonts w:ascii="Times New Roman" w:cs="Times New Roman" w:eastAsia="Times New Roman" w:hAnsi="Times New Roman"/>
          <w:sz w:val="18"/>
          <w:szCs w:val="18"/>
          <w:color w:val="auto"/>
        </w:rPr>
        <w:t>”) shall equal or exceed $1,000,000 (the “</w:t>
      </w:r>
      <w:r>
        <w:rPr>
          <w:rFonts w:ascii="Times New Roman" w:cs="Times New Roman" w:eastAsia="Times New Roman" w:hAnsi="Times New Roman"/>
          <w:sz w:val="18"/>
          <w:szCs w:val="18"/>
          <w:b w:val="1"/>
          <w:bCs w:val="1"/>
          <w:color w:val="auto"/>
        </w:rPr>
        <w:t>Minimum Liquidity Test</w:t>
      </w:r>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540" w:right="240" w:firstLine="408"/>
        <w:spacing w:after="0" w:line="262" w:lineRule="auto"/>
        <w:tabs>
          <w:tab w:leader="none" w:pos="120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Working Capital Test</w:t>
      </w:r>
      <w:r>
        <w:rPr>
          <w:rFonts w:ascii="Times New Roman" w:cs="Times New Roman" w:eastAsia="Times New Roman" w:hAnsi="Times New Roman"/>
          <w:sz w:val="18"/>
          <w:szCs w:val="18"/>
          <w:color w:val="auto"/>
        </w:rPr>
        <w:t>. As of the time immediately following the time of consummation of the Shoe Business Sale (“</w:t>
      </w:r>
      <w:r>
        <w:rPr>
          <w:rFonts w:ascii="Times New Roman" w:cs="Times New Roman" w:eastAsia="Times New Roman" w:hAnsi="Times New Roman"/>
          <w:sz w:val="18"/>
          <w:szCs w:val="18"/>
          <w:b w:val="1"/>
          <w:bCs w:val="1"/>
          <w:color w:val="auto"/>
        </w:rPr>
        <w:t>Shoe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 the Company shall have, in a segregated account subject to an account control agreement of the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Cash of at least $2.5 million (the “</w:t>
      </w:r>
      <w:r>
        <w:rPr>
          <w:rFonts w:ascii="Times New Roman" w:cs="Times New Roman" w:eastAsia="Times New Roman" w:hAnsi="Times New Roman"/>
          <w:sz w:val="18"/>
          <w:szCs w:val="18"/>
          <w:b w:val="1"/>
          <w:bCs w:val="1"/>
          <w:color w:val="auto"/>
        </w:rPr>
        <w:t>Working Capital Test</w:t>
      </w:r>
      <w:r>
        <w:rPr>
          <w:rFonts w:ascii="Times New Roman" w:cs="Times New Roman" w:eastAsia="Times New Roman" w:hAnsi="Times New Roman"/>
          <w:sz w:val="18"/>
          <w:szCs w:val="18"/>
          <w:color w:val="auto"/>
        </w:rPr>
        <w:t>”, and together with the Minimum Liquidity Test, each a “</w:t>
      </w:r>
      <w:r>
        <w:rPr>
          <w:rFonts w:ascii="Times New Roman" w:cs="Times New Roman" w:eastAsia="Times New Roman" w:hAnsi="Times New Roman"/>
          <w:sz w:val="18"/>
          <w:szCs w:val="18"/>
          <w:b w:val="1"/>
          <w:b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Test</w:t>
      </w:r>
      <w:r>
        <w:rPr>
          <w:rFonts w:ascii="Times New Roman" w:cs="Times New Roman" w:eastAsia="Times New Roman" w:hAnsi="Times New Roman"/>
          <w:sz w:val="18"/>
          <w:szCs w:val="18"/>
          <w:color w:val="auto"/>
        </w:rPr>
        <w:t>”).</w:t>
      </w:r>
    </w:p>
    <w:p>
      <w:pPr>
        <w:spacing w:after="0" w:line="72" w:lineRule="exact"/>
        <w:rPr>
          <w:rFonts w:ascii="Times New Roman" w:cs="Times New Roman" w:eastAsia="Times New Roman" w:hAnsi="Times New Roman"/>
          <w:sz w:val="18"/>
          <w:szCs w:val="18"/>
          <w:color w:val="auto"/>
        </w:rPr>
      </w:pPr>
    </w:p>
    <w:p>
      <w:pPr>
        <w:ind w:left="540" w:right="60" w:firstLine="408"/>
        <w:spacing w:after="0" w:line="239" w:lineRule="auto"/>
        <w:tabs>
          <w:tab w:leader="none" w:pos="125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Operating Results Announcement</w:t>
      </w:r>
      <w:r>
        <w:rPr>
          <w:rFonts w:ascii="Times New Roman" w:cs="Times New Roman" w:eastAsia="Times New Roman" w:hAnsi="Times New Roman"/>
          <w:sz w:val="18"/>
          <w:szCs w:val="18"/>
          <w:color w:val="auto"/>
        </w:rPr>
        <w:t>. Commencing on the date hereof, the Company shall publicly disclose and disseminate (such date, the “</w:t>
      </w:r>
      <w:r>
        <w:rPr>
          <w:rFonts w:ascii="Times New Roman" w:cs="Times New Roman" w:eastAsia="Times New Roman" w:hAnsi="Times New Roman"/>
          <w:sz w:val="18"/>
          <w:szCs w:val="18"/>
          <w:b w:val="1"/>
          <w:bCs w:val="1"/>
          <w:color w:val="auto"/>
        </w:rPr>
        <w:t>Announcement Date</w:t>
      </w:r>
      <w:r>
        <w:rPr>
          <w:rFonts w:ascii="Times New Roman" w:cs="Times New Roman" w:eastAsia="Times New Roman" w:hAnsi="Times New Roman"/>
          <w:sz w:val="18"/>
          <w:szCs w:val="18"/>
          <w:color w:val="auto"/>
        </w:rPr>
        <w:t>”), if the Working Capital Test has not been satisfied as of the Shoe Sale Closing Time or if the Minimum Liquidity Test has not been satisfied as of any Fiscal Quarter or Fiscal Year, as applicable, a statement to that effect no later than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end of such Shoe Sale Closing Time, Fiscal Quarter or Fiscal Year, as applicable, and such announcement shall include a statement to the effect that the Company is (or is not, as applicable) in breach of any Financial Test for such Shoe Sale Closing Time, Fiscal Quarter or Fiscal Year, as applicable. On the Announcement Date, the Company shall also provide to the Holder a certification, executed on behalf of the Company by the Chief Financial Officer of the Company, certifying that the Company satisfied each Financial Test for such Shoe Sale Closing Time, Fiscal Quarter or Fiscal Year, as applicable, if</w:t>
      </w:r>
    </w:p>
    <w:p>
      <w:pPr>
        <w:spacing w:after="0" w:line="13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60"/>
          </w:cols>
          <w:pgMar w:left="880" w:top="270" w:right="459" w:bottom="1440" w:gutter="0" w:footer="0" w:header="0"/>
        </w:sectPr>
      </w:pPr>
    </w:p>
    <w:bookmarkStart w:id="75" w:name="page76"/>
    <w:bookmarkEnd w:id="75"/>
    <w:p>
      <w:pPr>
        <w:ind w:left="980"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is the case. If the Company has failed to meet one or more Financial Tests for such Shoe Sale Closing Time, Fiscal Quarter or Fiscal Year, as applicable, (each a “</w:t>
      </w:r>
      <w:r>
        <w:rPr>
          <w:rFonts w:ascii="Times New Roman" w:cs="Times New Roman" w:eastAsia="Times New Roman" w:hAnsi="Times New Roman"/>
          <w:sz w:val="18"/>
          <w:szCs w:val="18"/>
          <w:b w:val="1"/>
          <w:bCs w:val="1"/>
          <w:color w:val="auto"/>
        </w:rPr>
        <w:t>Financial Covenant Failure</w:t>
      </w:r>
      <w:r>
        <w:rPr>
          <w:rFonts w:ascii="Times New Roman" w:cs="Times New Roman" w:eastAsia="Times New Roman" w:hAnsi="Times New Roman"/>
          <w:sz w:val="18"/>
          <w:szCs w:val="18"/>
          <w:color w:val="auto"/>
        </w:rPr>
        <w:t>”), on or prior to the Announcement Date, the Company shall provide to the Holders a written certification, executed on behalf of the Company by the Chief Financial Officer of the Company, certifying which Financial Test(s) have not been met for such Shoe Sale Closing Time, Fiscal Quarter or Fiscal Year, as applicable (a “</w:t>
      </w:r>
      <w:r>
        <w:rPr>
          <w:rFonts w:ascii="Times New Roman" w:cs="Times New Roman" w:eastAsia="Times New Roman" w:hAnsi="Times New Roman"/>
          <w:sz w:val="18"/>
          <w:szCs w:val="18"/>
          <w:b w:val="1"/>
          <w:bCs w:val="1"/>
          <w:color w:val="auto"/>
        </w:rPr>
        <w:t>Financial Covenant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Failure Notice</w:t>
      </w:r>
      <w:r>
        <w:rPr>
          <w:rFonts w:ascii="Times New Roman" w:cs="Times New Roman" w:eastAsia="Times New Roman" w:hAnsi="Times New Roman"/>
          <w:sz w:val="18"/>
          <w:szCs w:val="18"/>
          <w:color w:val="auto"/>
        </w:rPr>
        <w:t>”). Concurrently with the delivery of each Financial Covenant Failure Notice to the Holders, the Company shall also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publicly available (as part of a Quarterly Report on Form 10-Q, Annual Report on Form 10-K or on a Current Report on Form 8-K, or otherwise) the Financial Covenant Failure Notice and the fact that an Event of Default has occurred under the Notes.</w:t>
      </w:r>
    </w:p>
    <w:p>
      <w:pPr>
        <w:spacing w:after="0" w:line="81" w:lineRule="exact"/>
        <w:rPr>
          <w:sz w:val="20"/>
          <w:szCs w:val="20"/>
          <w:color w:val="auto"/>
        </w:rPr>
      </w:pPr>
    </w:p>
    <w:p>
      <w:pPr>
        <w:ind w:left="1080" w:hanging="221"/>
        <w:spacing w:after="0"/>
        <w:tabs>
          <w:tab w:leader="none" w:pos="10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At the request of the Holder either (x) at any time when an Event of Default has occurred and is continuing,</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that with the passage of time or giving of notice would constitute an Event of Default or (z) at any time the</w:t>
      </w:r>
    </w:p>
    <w:p>
      <w:pPr>
        <w:spacing w:after="0" w:line="9"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reasonably believes an Event of Default may have occurred or be continuing, the Company shall hire an independent, reputable investment bank selected by the Company and approved by the Holder to investigate as to whether any breach of this Note has occurred (the “</w:t>
      </w:r>
      <w:r>
        <w:rPr>
          <w:rFonts w:ascii="Times New Roman" w:cs="Times New Roman" w:eastAsia="Times New Roman" w:hAnsi="Times New Roman"/>
          <w:sz w:val="18"/>
          <w:szCs w:val="18"/>
          <w:b w:val="1"/>
          <w:bCs w:val="1"/>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Investigator</w:t>
      </w:r>
      <w:r>
        <w:rPr>
          <w:rFonts w:ascii="Times New Roman" w:cs="Times New Roman" w:eastAsia="Times New Roman" w:hAnsi="Times New Roman"/>
          <w:sz w:val="18"/>
          <w:szCs w:val="18"/>
          <w:color w:val="auto"/>
        </w:rPr>
        <w:t>”). If the Independent Investigator determines that such breach of this Note has occurred, the Independent Investigator shall notify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such breach and the Company shall deliver written notice to each holder of a Note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spacing w:after="0" w:line="191" w:lineRule="exact"/>
        <w:rPr>
          <w:sz w:val="20"/>
          <w:szCs w:val="20"/>
          <w:color w:val="auto"/>
        </w:rPr>
      </w:pPr>
    </w:p>
    <w:p>
      <w:pPr>
        <w:ind w:right="340" w:firstLine="436"/>
        <w:spacing w:after="0" w:line="282" w:lineRule="auto"/>
        <w:tabs>
          <w:tab w:leader="none" w:pos="71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This Note and the Other Notes are secured to the extent and in the manner set forth in the Transaction Documents (including, without limitation, the Security Agreement, the other Security Documents and the Guaranties).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76" w:name="page77"/>
    <w:bookmarkEnd w:id="76"/>
    <w:p>
      <w:pPr>
        <w:ind w:firstLine="436"/>
        <w:spacing w:after="0" w:line="252" w:lineRule="auto"/>
        <w:tabs>
          <w:tab w:leader="none" w:pos="71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 OF ASSETS</w:t>
      </w:r>
      <w:r>
        <w:rPr>
          <w:rFonts w:ascii="Times New Roman" w:cs="Times New Roman" w:eastAsia="Times New Roman" w:hAnsi="Times New Roman"/>
          <w:sz w:val="18"/>
          <w:szCs w:val="18"/>
          <w:color w:val="auto"/>
        </w:rPr>
        <w:t>. In addition to any adjustments pursuant to Sections 6(a) or 7,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but excluding any Shoe Business Sale Dividend (the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such Distribution or, if no such record is taken, the date as of which the record holders of Common Stock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5" w:lineRule="exact"/>
        <w:rPr>
          <w:rFonts w:ascii="Times New Roman" w:cs="Times New Roman" w:eastAsia="Times New Roman" w:hAnsi="Times New Roman"/>
          <w:sz w:val="18"/>
          <w:szCs w:val="18"/>
          <w:color w:val="auto"/>
        </w:rPr>
      </w:pPr>
    </w:p>
    <w:p>
      <w:pPr>
        <w:ind w:right="40" w:firstLine="436"/>
        <w:spacing w:after="0" w:line="282" w:lineRule="auto"/>
        <w:tabs>
          <w:tab w:leader="none" w:pos="71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AMENDING THE TERMS OF THIS NOTE</w:t>
      </w:r>
      <w:r>
        <w:rPr>
          <w:rFonts w:ascii="Times New Roman" w:cs="Times New Roman" w:eastAsia="Times New Roman" w:hAnsi="Times New Roman"/>
          <w:sz w:val="18"/>
          <w:szCs w:val="18"/>
          <w:color w:val="auto"/>
        </w:rPr>
        <w:t>. Except for Section 3(d) and this Section 18, which may not be amended, modified or waived by the parties hereto, the prior written consent of the Holder shall be required for any change, waiver or amendment to this Note.</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71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Note and any shares of Common Stock issued upon conversion of this Note may be offered, sold, assigned or transferred by the Holder without the consent of the Company, subject only to the provisions of Section 2(g) of the Securities Purchase Agreement.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NOTE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74" w:lineRule="auto"/>
        <w:tabs>
          <w:tab w:leader="none" w:pos="1107"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If this Note is to be transferred, the Holder shall surrender this Note to the Company, whereupon the Company will forthwith issue and deliver upon the order of the Holder a new Note (in accordance with Section 20(d)), registered as the Holder may request, representing the outstanding Principal being transferred by the Holder and, if less than the entire outstanding Principal is being transferred, a new Note (in accordance with Section 20(d))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64" w:lineRule="exact"/>
        <w:rPr>
          <w:rFonts w:ascii="Times New Roman" w:cs="Times New Roman" w:eastAsia="Times New Roman" w:hAnsi="Times New Roman"/>
          <w:sz w:val="17"/>
          <w:szCs w:val="17"/>
          <w:color w:val="auto"/>
        </w:rPr>
      </w:pPr>
    </w:p>
    <w:p>
      <w:pPr>
        <w:ind w:left="440" w:right="100" w:firstLine="419"/>
        <w:spacing w:after="0" w:line="258" w:lineRule="auto"/>
        <w:tabs>
          <w:tab w:leader="none" w:pos="111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20(d)) representing the outstanding Principal.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77" w:name="page78"/>
    <w:bookmarkEnd w:id="77"/>
    <w:p>
      <w:pPr>
        <w:ind w:left="440" w:firstLine="419"/>
        <w:spacing w:after="0" w:line="261" w:lineRule="auto"/>
        <w:tabs>
          <w:tab w:leader="none" w:pos="110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 office of the Company, for a new Note or Notes (in accordance with Section 20(d) and in principal amounts of at least $1,000) representing in the aggregate the outstanding Principal of this Note, and each such new Note will represent such portion of such outstanding Principal as is designated by the Holder at the time of such surrender.</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Notes</w:t>
      </w:r>
      <w:r>
        <w:rPr>
          <w:rFonts w:ascii="Times New Roman" w:cs="Times New Roman" w:eastAsia="Times New Roman" w:hAnsi="Times New Roman"/>
          <w:sz w:val="18"/>
          <w:szCs w:val="18"/>
          <w:color w:val="auto"/>
        </w:rPr>
        <w:t>. Whenever the Company is required to issue a new Note pursuant to the terms of this Note, such new Note</w:t>
      </w:r>
    </w:p>
    <w:p>
      <w:pPr>
        <w:spacing w:after="0" w:line="27" w:lineRule="exact"/>
        <w:rPr>
          <w:rFonts w:ascii="Times New Roman" w:cs="Times New Roman" w:eastAsia="Times New Roman" w:hAnsi="Times New Roman"/>
          <w:sz w:val="18"/>
          <w:szCs w:val="18"/>
          <w:color w:val="auto"/>
        </w:rPr>
      </w:pPr>
    </w:p>
    <w:p>
      <w:pPr>
        <w:jc w:val="both"/>
        <w:ind w:left="440" w:right="120" w:hanging="4"/>
        <w:spacing w:after="0" w:line="25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of like tenor with this Note, (ii) shall represent, as indicated on the face of such new Note, the Principal remaining outstanding (or in the case of a new Note being issued pursuant to Section 20(a) or Section 20(c),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spacing w:after="0" w:line="190" w:lineRule="exact"/>
        <w:rPr>
          <w:sz w:val="20"/>
          <w:szCs w:val="20"/>
          <w:color w:val="auto"/>
        </w:rPr>
      </w:pPr>
    </w:p>
    <w:p>
      <w:pPr>
        <w:ind w:firstLine="436"/>
        <w:spacing w:after="0" w:line="252" w:lineRule="auto"/>
        <w:tabs>
          <w:tab w:leader="none" w:pos="71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78" w:name="page79"/>
    <w:bookmarkEnd w:id="78"/>
    <w:p>
      <w:pPr>
        <w:ind w:left="-80" w:right="20" w:firstLine="436"/>
        <w:spacing w:after="0" w:line="255" w:lineRule="auto"/>
        <w:tabs>
          <w:tab w:leader="none" w:pos="63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COLLECTION, ENFORCEMENT AND OTHER COSTS</w:t>
      </w:r>
      <w:r>
        <w:rPr>
          <w:rFonts w:ascii="Times New Roman" w:cs="Times New Roman" w:eastAsia="Times New Roman" w:hAnsi="Times New Roman"/>
          <w:sz w:val="18"/>
          <w:szCs w:val="18"/>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spacing w:after="0" w:line="188" w:lineRule="exact"/>
        <w:rPr>
          <w:rFonts w:ascii="Times New Roman" w:cs="Times New Roman" w:eastAsia="Times New Roman" w:hAnsi="Times New Roman"/>
          <w:sz w:val="18"/>
          <w:szCs w:val="18"/>
          <w:color w:val="auto"/>
        </w:rPr>
      </w:pPr>
    </w:p>
    <w:p>
      <w:pPr>
        <w:ind w:left="-80" w:right="40" w:firstLine="436"/>
        <w:spacing w:after="0" w:line="254" w:lineRule="auto"/>
        <w:tabs>
          <w:tab w:leader="none" w:pos="63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Applicable Closing Date in such other Transaction Documents unless otherwise consented to in writing by the Holder.</w:t>
      </w:r>
    </w:p>
    <w:p>
      <w:pPr>
        <w:spacing w:after="0" w:line="191" w:lineRule="exact"/>
        <w:rPr>
          <w:rFonts w:ascii="Times New Roman" w:cs="Times New Roman" w:eastAsia="Times New Roman" w:hAnsi="Times New Roman"/>
          <w:sz w:val="18"/>
          <w:szCs w:val="18"/>
          <w:color w:val="auto"/>
        </w:rPr>
      </w:pPr>
    </w:p>
    <w:p>
      <w:pPr>
        <w:ind w:left="-80" w:right="80" w:firstLine="436"/>
        <w:spacing w:after="0" w:line="281" w:lineRule="auto"/>
        <w:tabs>
          <w:tab w:leader="none" w:pos="63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OR INDULGENCE NOT WAIVER</w:t>
      </w:r>
      <w:r>
        <w:rPr>
          <w:rFonts w:ascii="Times New Roman" w:cs="Times New Roman" w:eastAsia="Times New Roman" w:hAnsi="Times New Roman"/>
          <w:sz w:val="17"/>
          <w:szCs w:val="17"/>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24 shall permit any waiver of any provision of Section 3(d).</w:t>
      </w:r>
    </w:p>
    <w:p>
      <w:pPr>
        <w:spacing w:after="0" w:line="164" w:lineRule="exact"/>
        <w:rPr>
          <w:rFonts w:ascii="Times New Roman" w:cs="Times New Roman" w:eastAsia="Times New Roman" w:hAnsi="Times New Roman"/>
          <w:sz w:val="17"/>
          <w:szCs w:val="17"/>
          <w:color w:val="auto"/>
        </w:rPr>
      </w:pPr>
    </w:p>
    <w:p>
      <w:pPr>
        <w:ind w:left="620" w:hanging="264"/>
        <w:spacing w:after="0"/>
        <w:tabs>
          <w:tab w:leader="none" w:pos="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20" w:hanging="241"/>
        <w:spacing w:after="0"/>
        <w:tabs>
          <w:tab w:leader="none" w:pos="10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Dispute Resolution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00" w:firstLine="408"/>
        <w:spacing w:after="0" w:line="266" w:lineRule="auto"/>
        <w:tabs>
          <w:tab w:leader="none" w:pos="1516"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a Closing Bid Price, a Closing Sale Price, a Conversion Price, an Alternate Conversion Price, a Black-Scholes Consideration Value, a VWAP or a fair market value or the arithmetic calculation of a Conversion Rate, or the applicable Redemption Price (as the case may be) (including, without limitation, a dispute relating to the determination of any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40"/>
          </w:cols>
          <w:pgMar w:left="520" w:top="270" w:right="539" w:bottom="1440" w:gutter="0" w:footer="0" w:header="0"/>
        </w:sectPr>
      </w:pPr>
    </w:p>
    <w:bookmarkStart w:id="79" w:name="page80"/>
    <w:bookmarkEnd w:id="79"/>
    <w:p>
      <w:pPr>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Alternate Conversion Price, such Black-Scholes Consideration Value, such VWAP or such fair market value, or the arithmetic calculation of such Conversion Rate or such applicable Redemption Price (as the case may be), at any time after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spacing w:after="0" w:line="95" w:lineRule="exact"/>
        <w:rPr>
          <w:sz w:val="20"/>
          <w:szCs w:val="20"/>
          <w:color w:val="auto"/>
        </w:rPr>
      </w:pPr>
    </w:p>
    <w:p>
      <w:pPr>
        <w:jc w:val="both"/>
        <w:ind w:right="40" w:firstLine="408"/>
        <w:spacing w:after="0" w:line="242" w:lineRule="auto"/>
        <w:tabs>
          <w:tab w:leader="none" w:pos="666"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and the Company shall each deliver to such investment bank (A) a copy of the initial dispute submission so delivered in accordance with the first sentence of this Section 25 and (B) written documentation supporting its position with respect to such dispute, in each case, no later than 5:00 p.m. (New York time) by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Business Day immediately following the date on which the Holder selected such investment bank (the “</w:t>
      </w:r>
      <w:r>
        <w:rPr>
          <w:rFonts w:ascii="Times New Roman" w:cs="Times New Roman" w:eastAsia="Times New Roman" w:hAnsi="Times New Roman"/>
          <w:sz w:val="17"/>
          <w:szCs w:val="17"/>
          <w:b w:val="1"/>
          <w:bCs w:val="1"/>
          <w:color w:val="auto"/>
        </w:rPr>
        <w:t>Dispute Submission Deadline</w:t>
      </w:r>
      <w:r>
        <w:rPr>
          <w:rFonts w:ascii="Times New Roman" w:cs="Times New Roman" w:eastAsia="Times New Roman" w:hAnsi="Times New Roman"/>
          <w:sz w:val="17"/>
          <w:szCs w:val="17"/>
          <w:color w:val="auto"/>
        </w:rPr>
        <w:t>”) (the documents referred to in the immediately preceding clauses</w:t>
      </w:r>
    </w:p>
    <w:p>
      <w:pPr>
        <w:spacing w:after="0" w:line="1" w:lineRule="exact"/>
        <w:rPr>
          <w:rFonts w:ascii="Times New Roman" w:cs="Times New Roman" w:eastAsia="Times New Roman" w:hAnsi="Times New Roman"/>
          <w:sz w:val="17"/>
          <w:szCs w:val="17"/>
          <w:color w:val="auto"/>
        </w:rPr>
      </w:pPr>
    </w:p>
    <w:p>
      <w:pPr>
        <w:ind w:right="160" w:firstLine="7"/>
        <w:spacing w:after="0" w:line="251" w:lineRule="auto"/>
        <w:tabs>
          <w:tab w:leader="none" w:pos="2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are collectively referred to herein as the “</w:t>
      </w:r>
      <w:r>
        <w:rPr>
          <w:rFonts w:ascii="Times New Roman" w:cs="Times New Roman" w:eastAsia="Times New Roman" w:hAnsi="Times New Roman"/>
          <w:sz w:val="18"/>
          <w:szCs w:val="18"/>
          <w:b w:val="1"/>
          <w:bCs w:val="1"/>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spacing w:after="0" w:line="85" w:lineRule="exact"/>
        <w:rPr>
          <w:rFonts w:ascii="Times New Roman" w:cs="Times New Roman" w:eastAsia="Times New Roman" w:hAnsi="Times New Roman"/>
          <w:sz w:val="18"/>
          <w:szCs w:val="18"/>
          <w:color w:val="auto"/>
        </w:rPr>
      </w:pPr>
    </w:p>
    <w:p>
      <w:pPr>
        <w:ind w:right="20" w:firstLine="408"/>
        <w:spacing w:after="0" w:line="261" w:lineRule="auto"/>
        <w:tabs>
          <w:tab w:leader="none" w:pos="71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spacing w:after="0" w:line="1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020"/>
          </w:cols>
          <w:pgMar w:left="1420" w:top="270" w:right="459" w:bottom="1440" w:gutter="0" w:footer="0" w:header="0"/>
        </w:sectPr>
      </w:pPr>
    </w:p>
    <w:bookmarkStart w:id="80" w:name="page81"/>
    <w:bookmarkEnd w:id="80"/>
    <w:p>
      <w:pPr>
        <w:jc w:val="both"/>
        <w:ind w:left="4" w:right="160" w:firstLine="419"/>
        <w:spacing w:after="0" w:line="270" w:lineRule="auto"/>
        <w:tabs>
          <w:tab w:leader="none" w:pos="681"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7"/>
          <w:szCs w:val="17"/>
          <w:color w:val="auto"/>
        </w:rPr>
        <w:t>. The Company expressly acknowledges and agrees that (i) this Section 25 constitutes an agreement to arbitrate between the Company and the Holder (and constitutes an arbitration agreement) under the Delaware Uniform Arbitration Act, as amended, (ii) a dispute relating to a Conversion Price includes, without limitation, disputes as to (A) whether an issuance or sale or deemed issuance or sale of Common Stock occurred under Section 7(a), (B) the consideration per share at which an issuance or deemed issuance of Common Stock occurred,</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8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issuance or sale or deemed issuance or sale of Common Stock was an issuance or sale or deemed issuance or sale of Excluded Securities, (D) whether an agreement, instrument, security or the like constitutes and Option or Convertible Security and (E) whether a Dilutive Issuance occurred, (iii)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(iv) the Holder (and only the Holder), in its sole discretion, shall have the right to submit any dispute described in this Section 25 to any state or federal court sitting in Wilmington, Delaware in lieu of utilizing the procedures set forth in this Section 25 and (v) nothing in this Section 25 shall limit the Holder from obtaining any injunctive relief or other equitable remedies (including, without limitation, with respect to any matters described in this Section 25).</w:t>
      </w:r>
    </w:p>
    <w:p>
      <w:pPr>
        <w:spacing w:after="0" w:line="193" w:lineRule="exact"/>
        <w:rPr>
          <w:sz w:val="20"/>
          <w:szCs w:val="20"/>
          <w:color w:val="auto"/>
        </w:rPr>
      </w:pPr>
    </w:p>
    <w:p>
      <w:pPr>
        <w:ind w:left="264" w:hanging="264"/>
        <w:spacing w:after="0"/>
        <w:tabs>
          <w:tab w:leader="none" w:pos="26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CURRENCY; PAYMENTS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67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76" w:lineRule="exact"/>
        <w:rPr>
          <w:rFonts w:ascii="Times New Roman" w:cs="Times New Roman" w:eastAsia="Times New Roman" w:hAnsi="Times New Roman"/>
          <w:sz w:val="18"/>
          <w:szCs w:val="18"/>
          <w:color w:val="auto"/>
        </w:rPr>
      </w:pPr>
    </w:p>
    <w:p>
      <w:pPr>
        <w:ind w:left="4" w:right="60" w:firstLine="419"/>
        <w:spacing w:after="0" w:line="257" w:lineRule="auto"/>
        <w:tabs>
          <w:tab w:leader="none" w:pos="68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dollar amounts referred to in this Note are in United States Dollars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1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84"/>
          </w:cols>
          <w:pgMar w:left="876" w:top="270" w:right="439" w:bottom="1440" w:gutter="0" w:footer="0" w:header="0"/>
        </w:sectPr>
      </w:pPr>
    </w:p>
    <w:bookmarkStart w:id="81" w:name="page82"/>
    <w:bookmarkEnd w:id="81"/>
    <w:p>
      <w:pPr>
        <w:ind w:left="440" w:firstLine="419"/>
        <w:spacing w:after="0" w:line="253" w:lineRule="auto"/>
        <w:tabs>
          <w:tab w:leader="none" w:pos="110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seventeen percent (17%) per annum from the date such amount was due until the same is paid in full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20" w:firstLine="436"/>
        <w:spacing w:after="0" w:line="282" w:lineRule="auto"/>
        <w:tabs>
          <w:tab w:leader="none" w:pos="71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all Principal, accrued Interest, Late Charges and other amounts at any time owed on this Note have been paid in full, this Note shall automatically be deemed canceled, shall be surrendered to the Company for cancellation and shall not be reissued.</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71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175" w:lineRule="exact"/>
        <w:rPr>
          <w:rFonts w:ascii="Times New Roman" w:cs="Times New Roman" w:eastAsia="Times New Roman" w:hAnsi="Times New Roman"/>
          <w:sz w:val="18"/>
          <w:szCs w:val="18"/>
          <w:color w:val="auto"/>
        </w:rPr>
      </w:pPr>
    </w:p>
    <w:p>
      <w:pPr>
        <w:ind w:right="60" w:firstLine="436"/>
        <w:spacing w:after="0" w:line="252" w:lineRule="auto"/>
        <w:tabs>
          <w:tab w:leader="none" w:pos="71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Note shall be construed and enforced in accordance with, and all questions concerning the construction, validity, interpretation and performance of this Note shall be governed by, the internal laws of the State of Delaware, without giving effect to any provision or rule (whether of the State of Delaware or any other jurisdictions) that would cause the application of the laws of any jurisdictions other than the State of Delaware. Except as otherwise required by Section 25 above, the Company hereby irrevocably submits to the exclusive jurisdiction of the state and federal courts sitting in Wilmington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or (ii) shall limit, or shall be deemed or construed to limit, any provision of Section 25. </w:t>
      </w:r>
      <w:r>
        <w:rPr>
          <w:rFonts w:ascii="Times New Roman" w:cs="Times New Roman" w:eastAsia="Times New Roman" w:hAnsi="Times New Roman"/>
          <w:sz w:val="18"/>
          <w:szCs w:val="18"/>
          <w:b w:val="1"/>
          <w:bCs w:val="1"/>
          <w:color w:val="auto"/>
        </w:rPr>
        <w:t>THE</w:t>
      </w:r>
    </w:p>
    <w:p>
      <w:pPr>
        <w:spacing w:after="0" w:line="2" w:lineRule="exact"/>
        <w:rPr>
          <w:rFonts w:ascii="Times New Roman" w:cs="Times New Roman" w:eastAsia="Times New Roman" w:hAnsi="Times New Roman"/>
          <w:sz w:val="18"/>
          <w:szCs w:val="18"/>
          <w:color w:val="auto"/>
        </w:rPr>
      </w:pPr>
    </w:p>
    <w:p>
      <w:pPr>
        <w:ind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HEREBY IRREVOCABLY WAIVES ANY RIGHT IT MAY HAVE TO, AND AGREES NOT TO REQUEST, A JURY TRIAL FOR THE ADJUDICATION OF ANY DISPUTE HEREUNDER OR IN CONNECTION WITH OR ARISING OUT OF THIS NOTE OR ANY TRANSACTION CONTEMPLATED HEREBY.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82" w:name="page83"/>
    <w:bookmarkEnd w:id="82"/>
    <w:p>
      <w:pPr>
        <w:ind w:left="660" w:hanging="264"/>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JUDGMENT CURRENCY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right="20" w:firstLine="419"/>
        <w:spacing w:after="0" w:line="266" w:lineRule="auto"/>
        <w:tabs>
          <w:tab w:leader="none" w:pos="10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or enforcing judgment against the Company in any court in any jurisdiction it becomes necessary to convert into any other currency (such other currency being hereinafter in this Section 30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U.S. dollars under this Note, the conversion shall be made at the Exchange Rate prevailing on the Trading Day immediately preceding:</w:t>
      </w:r>
    </w:p>
    <w:p>
      <w:pPr>
        <w:spacing w:after="0" w:line="67" w:lineRule="exact"/>
        <w:rPr>
          <w:rFonts w:ascii="Times New Roman" w:cs="Times New Roman" w:eastAsia="Times New Roman" w:hAnsi="Times New Roman"/>
          <w:sz w:val="18"/>
          <w:szCs w:val="18"/>
          <w:color w:val="auto"/>
        </w:rPr>
      </w:pPr>
    </w:p>
    <w:p>
      <w:pPr>
        <w:ind w:left="940" w:right="220" w:firstLine="408"/>
        <w:spacing w:after="0" w:line="282" w:lineRule="auto"/>
        <w:tabs>
          <w:tab w:leader="none" w:pos="1556"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actual payment of the amount due, in the case of any proceeding in the courts of Delaware or in the courts of any other jurisdiction that will give effect to such conversion being made on such date: or</w:t>
      </w:r>
    </w:p>
    <w:p>
      <w:pPr>
        <w:spacing w:after="0" w:line="53" w:lineRule="exact"/>
        <w:rPr>
          <w:rFonts w:ascii="Times New Roman" w:cs="Times New Roman" w:eastAsia="Times New Roman" w:hAnsi="Times New Roman"/>
          <w:sz w:val="18"/>
          <w:szCs w:val="18"/>
          <w:color w:val="auto"/>
        </w:rPr>
      </w:pPr>
    </w:p>
    <w:p>
      <w:pPr>
        <w:ind w:left="940" w:firstLine="408"/>
        <w:spacing w:after="0" w:line="282" w:lineRule="auto"/>
        <w:tabs>
          <w:tab w:leader="none" w:pos="1606"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foreign court determines, in the case of any proceeding in the courts of any other jurisdiction (the date as of which such conversion is made pursuant to this Section 30(a)(ii) being hereinafter referred to as the “</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00" w:right="160" w:firstLine="419"/>
        <w:spacing w:after="0" w:line="258" w:lineRule="auto"/>
        <w:tabs>
          <w:tab w:leader="none" w:pos="107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case of any proceeding in the court of any jurisdiction referred to in Section 30(a)(ii)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75" w:lineRule="exact"/>
        <w:rPr>
          <w:rFonts w:ascii="Times New Roman" w:cs="Times New Roman" w:eastAsia="Times New Roman" w:hAnsi="Times New Roman"/>
          <w:sz w:val="18"/>
          <w:szCs w:val="18"/>
          <w:color w:val="auto"/>
        </w:rPr>
      </w:pPr>
    </w:p>
    <w:p>
      <w:pPr>
        <w:ind w:left="400" w:right="380" w:firstLine="419"/>
        <w:spacing w:after="0" w:line="282" w:lineRule="auto"/>
        <w:tabs>
          <w:tab w:leader="none" w:pos="106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from the Company under this provision shall be due as a separate debt and shall not be affected by judgment being obtained for any other amounts due under or in respect of this Note.</w:t>
      </w:r>
    </w:p>
    <w:p>
      <w:pPr>
        <w:spacing w:after="0" w:line="161" w:lineRule="exact"/>
        <w:rPr>
          <w:rFonts w:ascii="Times New Roman" w:cs="Times New Roman" w:eastAsia="Times New Roman" w:hAnsi="Times New Roman"/>
          <w:sz w:val="18"/>
          <w:szCs w:val="18"/>
          <w:color w:val="auto"/>
        </w:rPr>
      </w:pPr>
    </w:p>
    <w:p>
      <w:pPr>
        <w:ind w:left="-40" w:right="40" w:firstLine="436"/>
        <w:spacing w:after="0" w:line="254" w:lineRule="auto"/>
        <w:tabs>
          <w:tab w:leader="none" w:pos="67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480" w:top="270" w:right="479" w:bottom="1440" w:gutter="0" w:footer="0" w:header="0"/>
        </w:sectPr>
      </w:pPr>
    </w:p>
    <w:bookmarkStart w:id="83" w:name="page84"/>
    <w:bookmarkEnd w:id="83"/>
    <w:p>
      <w:pPr>
        <w:jc w:val="both"/>
        <w:ind w:left="-20" w:right="100" w:firstLine="436"/>
        <w:spacing w:after="0" w:line="261" w:lineRule="auto"/>
        <w:tabs>
          <w:tab w:leader="none" w:pos="69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MAXIMUM PAYMENTS</w:t>
      </w:r>
      <w:r>
        <w:rPr>
          <w:rFonts w:ascii="Times New Roman" w:cs="Times New Roman" w:eastAsia="Times New Roman" w:hAnsi="Times New Roman"/>
          <w:sz w:val="18"/>
          <w:szCs w:val="18"/>
          <w:color w:val="auto"/>
        </w:rPr>
        <w:t>. Without limiting Section 9(d) of the Securities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spacing w:after="0" w:line="179"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Note, the following terms shall have the following meanings:</w:t>
      </w:r>
    </w:p>
    <w:p>
      <w:pPr>
        <w:spacing w:after="0" w:line="113" w:lineRule="exact"/>
        <w:rPr>
          <w:rFonts w:ascii="Times New Roman" w:cs="Times New Roman" w:eastAsia="Times New Roman" w:hAnsi="Times New Roman"/>
          <w:sz w:val="18"/>
          <w:szCs w:val="18"/>
          <w:color w:val="auto"/>
        </w:rPr>
      </w:pPr>
    </w:p>
    <w:p>
      <w:pPr>
        <w:ind w:left="1080" w:hanging="241"/>
        <w:spacing w:after="0"/>
        <w:tabs>
          <w:tab w:leader="none" w:pos="10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117"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117" w:lineRule="exact"/>
        <w:rPr>
          <w:rFonts w:ascii="Times New Roman" w:cs="Times New Roman" w:eastAsia="Times New Roman" w:hAnsi="Times New Roman"/>
          <w:sz w:val="18"/>
          <w:szCs w:val="18"/>
          <w:color w:val="auto"/>
        </w:rPr>
      </w:pPr>
    </w:p>
    <w:p>
      <w:pPr>
        <w:ind w:left="420" w:right="140" w:firstLine="419"/>
        <w:spacing w:after="0" w:line="256" w:lineRule="auto"/>
        <w:tabs>
          <w:tab w:leader="none" w:pos="108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Floor Price</w:t>
      </w:r>
      <w:r>
        <w:rPr>
          <w:rFonts w:ascii="Times New Roman" w:cs="Times New Roman" w:eastAsia="Times New Roman" w:hAnsi="Times New Roman"/>
          <w:sz w:val="18"/>
          <w:szCs w:val="18"/>
          <w:color w:val="auto"/>
        </w:rPr>
        <w:t>” means as determined on each six month anniversary of the Issuance Date (each, a “</w:t>
      </w:r>
      <w:r>
        <w:rPr>
          <w:rFonts w:ascii="Times New Roman" w:cs="Times New Roman" w:eastAsia="Times New Roman" w:hAnsi="Times New Roman"/>
          <w:sz w:val="18"/>
          <w:szCs w:val="18"/>
          <w:b w:val="1"/>
          <w:bCs w:val="1"/>
          <w:color w:val="auto"/>
        </w:rPr>
        <w:t>Six Month Anniversary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hereunder, the lower of (i) the Floor Price then in effect and (ii) 20% of the lower of (x) the closing price of the Common Stock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Market (as reported by the Principal Market) as of the Trading Day ended immediately prior to such applicable Six Month Anniversary Date and (y) the quotient of (I) the sum of each the closing price of the Common Stock of the Principal Market (as reported by the Principal Market) on each Trading Day of the five (5) Trading Day period ended on, and including, the Trading Day ended immediately prior to such applicable Six Month Anniversary Date, divided by (II) five (5). All such determinations to be appropriately adjusted for any share split, share dividend, share combination or other similar transaction during any such measuring period.</w:t>
      </w:r>
    </w:p>
    <w:p>
      <w:pPr>
        <w:spacing w:after="0" w:line="74" w:lineRule="exact"/>
        <w:rPr>
          <w:rFonts w:ascii="Times New Roman" w:cs="Times New Roman" w:eastAsia="Times New Roman" w:hAnsi="Times New Roman"/>
          <w:sz w:val="18"/>
          <w:szCs w:val="18"/>
          <w:color w:val="auto"/>
        </w:rPr>
      </w:pPr>
    </w:p>
    <w:p>
      <w:pPr>
        <w:ind w:left="420" w:firstLine="419"/>
        <w:spacing w:after="0" w:line="262" w:lineRule="auto"/>
        <w:tabs>
          <w:tab w:leader="none" w:pos="109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Right</w:t>
      </w:r>
      <w:r>
        <w:rPr>
          <w:rFonts w:ascii="Times New Roman" w:cs="Times New Roman" w:eastAsia="Times New Roman" w:hAnsi="Times New Roman"/>
          <w:sz w:val="18"/>
          <w:szCs w:val="18"/>
          <w:color w:val="auto"/>
        </w:rPr>
        <w:t>” means any right granted with respect to any securities issued in connection with, or with respect to, any issuance or sale (or deemed issuance or sale in accordance with Section 7) of shares of Common Stock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p>
    <w:p>
      <w:pPr>
        <w:spacing w:after="0" w:line="68" w:lineRule="exact"/>
        <w:rPr>
          <w:rFonts w:ascii="Times New Roman" w:cs="Times New Roman" w:eastAsia="Times New Roman" w:hAnsi="Times New Roman"/>
          <w:sz w:val="18"/>
          <w:szCs w:val="18"/>
          <w:color w:val="auto"/>
        </w:rPr>
      </w:pPr>
    </w:p>
    <w:p>
      <w:pPr>
        <w:ind w:left="420" w:right="20" w:firstLine="419"/>
        <w:spacing w:after="0" w:line="262" w:lineRule="auto"/>
        <w:tabs>
          <w:tab w:leader="none" w:pos="108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spacing w:after="0" w:line="68" w:lineRule="exact"/>
        <w:rPr>
          <w:rFonts w:ascii="Times New Roman" w:cs="Times New Roman" w:eastAsia="Times New Roman" w:hAnsi="Times New Roman"/>
          <w:sz w:val="18"/>
          <w:szCs w:val="18"/>
          <w:color w:val="auto"/>
        </w:rPr>
      </w:pPr>
    </w:p>
    <w:p>
      <w:pPr>
        <w:ind w:left="420" w:right="40" w:firstLine="419"/>
        <w:spacing w:after="0" w:line="256" w:lineRule="auto"/>
        <w:tabs>
          <w:tab w:leader="none" w:pos="106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Conversion Floor Amount</w:t>
      </w:r>
      <w:r>
        <w:rPr>
          <w:rFonts w:ascii="Times New Roman" w:cs="Times New Roman" w:eastAsia="Times New Roman" w:hAnsi="Times New Roman"/>
          <w:sz w:val="18"/>
          <w:szCs w:val="18"/>
          <w:color w:val="auto"/>
        </w:rPr>
        <w:t>” means an amount in cash, to be delivered by wire transfer of immediately available funds pursuant to wire instructions delivered to the Company by the Holder in writing, equal to the product obtained by multiplying (A) higher of (I) the highest price that the Common Stock trades at on the Trading Day immediately preceding the relevant Alternate Conversion Date and (II) the applicable Alternate Conversion Price and (B) the difference obtained by subtracting (I) the number of shares of Common Stock delivered (or to be delivered) to the Holder on the applicable Share Delivery Deadline with respect to such Alternate Conversion from (II) the quotient obtain by dividing (x) the applicable Conversion Amount that the Holder has elected to be the subject of the applicable Alternate Conversion, by (y) the applicable Alternate Conversion Price without giving effect to clause (x) of such definition.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0"/>
          </w:cols>
          <w:pgMar w:left="460" w:top="270" w:right="459" w:bottom="1440" w:gutter="0" w:footer="0" w:header="0"/>
        </w:sectPr>
      </w:pPr>
    </w:p>
    <w:bookmarkStart w:id="84" w:name="page85"/>
    <w:bookmarkEnd w:id="84"/>
    <w:p>
      <w:pPr>
        <w:ind w:left="4" w:right="20" w:firstLine="419"/>
        <w:spacing w:after="0" w:line="270" w:lineRule="auto"/>
        <w:tabs>
          <w:tab w:leader="none" w:pos="681"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Alternate Conversion Price</w:t>
      </w:r>
      <w:r>
        <w:rPr>
          <w:rFonts w:ascii="Times New Roman" w:cs="Times New Roman" w:eastAsia="Times New Roman" w:hAnsi="Times New Roman"/>
          <w:sz w:val="17"/>
          <w:szCs w:val="17"/>
          <w:color w:val="auto"/>
        </w:rPr>
        <w:t>” means, with respect to any Alternate Conversion that price which shall be the lower of (i) the applicable Conversion Price as in effect on the applicable Conversion Date of the applicable Alternate Conversion, and (ii) the greater of (x) the Floor Price and (y) either (A) if an Event of Default then exists and is continuing, 85% of the lowest VWAP of the Common Stock of any Trading Day during the fifteen (15) consecutive Trading Day period ending and including the Trading Day immediately preceding the delivery or deemed delivery of the applicable Conversion Notice or (B) otherwise, 93% of the lowest VWAP of the Common Stock of any Trading Day during the ten</w:t>
      </w:r>
    </w:p>
    <w:p>
      <w:pPr>
        <w:spacing w:after="0" w:line="2" w:lineRule="exact"/>
        <w:rPr>
          <w:rFonts w:ascii="Times New Roman" w:cs="Times New Roman" w:eastAsia="Times New Roman" w:hAnsi="Times New Roman"/>
          <w:sz w:val="17"/>
          <w:szCs w:val="17"/>
          <w:color w:val="auto"/>
        </w:rPr>
      </w:pPr>
    </w:p>
    <w:p>
      <w:pPr>
        <w:ind w:left="4" w:right="80" w:hanging="4"/>
        <w:spacing w:after="0" w:line="253" w:lineRule="auto"/>
        <w:tabs>
          <w:tab w:leader="none" w:pos="3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 ending and including the Trading Day immediately preceding the delivery or deemed delivery of the applicable Conversion Notice (such applicable period, the “</w:t>
      </w:r>
      <w:r>
        <w:rPr>
          <w:rFonts w:ascii="Times New Roman" w:cs="Times New Roman" w:eastAsia="Times New Roman" w:hAnsi="Times New Roman"/>
          <w:sz w:val="18"/>
          <w:szCs w:val="18"/>
          <w:b w:val="1"/>
          <w:bCs w:val="1"/>
          <w:color w:val="auto"/>
        </w:rPr>
        <w:t>Alternate Conversion Measuring Period</w:t>
      </w:r>
      <w:r>
        <w:rPr>
          <w:rFonts w:ascii="Times New Roman" w:cs="Times New Roman" w:eastAsia="Times New Roman" w:hAnsi="Times New Roman"/>
          <w:sz w:val="18"/>
          <w:szCs w:val="18"/>
          <w:color w:val="auto"/>
        </w:rPr>
        <w:t>”). All such determinations to be appropriately adjusted for any stock dividend, stock split, stock combination, reclassification or similar transaction that proportionately decreases or increases the Common Stock during such Alternate Conversion Measuring Period.</w:t>
      </w:r>
    </w:p>
    <w:p>
      <w:pPr>
        <w:spacing w:after="0" w:line="76" w:lineRule="exact"/>
        <w:rPr>
          <w:rFonts w:ascii="Times New Roman" w:cs="Times New Roman" w:eastAsia="Times New Roman" w:hAnsi="Times New Roman"/>
          <w:sz w:val="18"/>
          <w:szCs w:val="18"/>
          <w:color w:val="auto"/>
        </w:rPr>
      </w:pPr>
    </w:p>
    <w:p>
      <w:pPr>
        <w:ind w:left="4" w:right="360" w:firstLine="419"/>
        <w:spacing w:after="0" w:line="286" w:lineRule="auto"/>
        <w:tabs>
          <w:tab w:leader="none" w:pos="68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Closing Date</w:t>
      </w:r>
      <w:r>
        <w:rPr>
          <w:rFonts w:ascii="Times New Roman" w:cs="Times New Roman" w:eastAsia="Times New Roman" w:hAnsi="Times New Roman"/>
          <w:sz w:val="18"/>
          <w:szCs w:val="18"/>
          <w:color w:val="auto"/>
        </w:rPr>
        <w:t>” means the applicable date the Company initially issued this Note pursuant to the terms of the Securities Purchase Agreement.</w:t>
      </w:r>
    </w:p>
    <w:p>
      <w:pPr>
        <w:spacing w:after="0" w:line="46" w:lineRule="exact"/>
        <w:rPr>
          <w:rFonts w:ascii="Times New Roman" w:cs="Times New Roman" w:eastAsia="Times New Roman" w:hAnsi="Times New Roman"/>
          <w:sz w:val="18"/>
          <w:szCs w:val="18"/>
          <w:color w:val="auto"/>
        </w:rPr>
      </w:pPr>
    </w:p>
    <w:p>
      <w:pPr>
        <w:ind w:left="4" w:firstLine="419"/>
        <w:spacing w:after="0" w:line="268" w:lineRule="auto"/>
        <w:tabs>
          <w:tab w:leader="none" w:pos="64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Stock Plan</w:t>
      </w:r>
      <w:r>
        <w:rPr>
          <w:rFonts w:ascii="Times New Roman" w:cs="Times New Roman" w:eastAsia="Times New Roman" w:hAnsi="Times New Roman"/>
          <w:sz w:val="18"/>
          <w:szCs w:val="18"/>
          <w:color w:val="auto"/>
        </w:rPr>
        <w:t>” means any employee benefit plan which has been approved by the board of directors of the Company prior to or subsequent to the Subscription Date pursuant to which shares of Common Stock and standard options to purchase Common Stock may be issued to any employee, officer or director for services provided to the Company in their capacity as such.</w:t>
      </w:r>
    </w:p>
    <w:p>
      <w:pPr>
        <w:spacing w:after="0" w:line="62"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64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74" w:lineRule="exact"/>
        <w:rPr>
          <w:rFonts w:ascii="Times New Roman" w:cs="Times New Roman" w:eastAsia="Times New Roman" w:hAnsi="Times New Roman"/>
          <w:sz w:val="18"/>
          <w:szCs w:val="18"/>
          <w:color w:val="auto"/>
        </w:rPr>
      </w:pPr>
    </w:p>
    <w:p>
      <w:pPr>
        <w:ind w:left="4" w:right="120" w:firstLine="419"/>
        <w:spacing w:after="0" w:line="262" w:lineRule="auto"/>
        <w:tabs>
          <w:tab w:leader="none" w:pos="68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Cash</w:t>
      </w:r>
      <w:r>
        <w:rPr>
          <w:rFonts w:ascii="Times New Roman" w:cs="Times New Roman" w:eastAsia="Times New Roman" w:hAnsi="Times New Roman"/>
          <w:sz w:val="18"/>
          <w:szCs w:val="18"/>
          <w:color w:val="auto"/>
        </w:rPr>
        <w:t>” means, with respect to any date of determination, an amount equal to the aggregate amount of the Cash of the Company and its Subsidiaries (excluding for this purpose cash held in restricted accounts or otherwise unavailable for unrestricted use by the Company or any of its Subsidiaries for any reason) as of such date of determination held in bank accounts of financial banking institutions in the United States of America.</w:t>
      </w:r>
    </w:p>
    <w:p>
      <w:pPr>
        <w:spacing w:after="0" w:line="113"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44"/>
          </w:cols>
          <w:pgMar w:left="876" w:top="266" w:right="479" w:bottom="1440" w:gutter="0" w:footer="0" w:header="0"/>
        </w:sectPr>
      </w:pPr>
    </w:p>
    <w:bookmarkStart w:id="85" w:name="page86"/>
    <w:bookmarkEnd w:id="85"/>
    <w:p>
      <w:pPr>
        <w:ind w:firstLine="419"/>
        <w:spacing w:after="0" w:line="254" w:lineRule="auto"/>
        <w:tabs>
          <w:tab w:leader="none" w:pos="63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Black Scholes Consideration Value</w:t>
      </w:r>
      <w:r>
        <w:rPr>
          <w:rFonts w:ascii="Times New Roman" w:cs="Times New Roman" w:eastAsia="Times New Roman" w:hAnsi="Times New Roman"/>
          <w:sz w:val="18"/>
          <w:szCs w:val="18"/>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p>
      <w:pPr>
        <w:spacing w:after="0" w:line="80"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117" w:lineRule="exact"/>
        <w:rPr>
          <w:rFonts w:ascii="Times New Roman" w:cs="Times New Roman" w:eastAsia="Times New Roman" w:hAnsi="Times New Roman"/>
          <w:sz w:val="18"/>
          <w:szCs w:val="18"/>
          <w:color w:val="auto"/>
        </w:rPr>
      </w:pPr>
    </w:p>
    <w:p>
      <w:pPr>
        <w:ind w:right="100" w:firstLine="419"/>
        <w:spacing w:after="0" w:line="259" w:lineRule="auto"/>
        <w:tabs>
          <w:tab w:leader="none" w:pos="67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71" w:lineRule="exact"/>
        <w:rPr>
          <w:rFonts w:ascii="Times New Roman" w:cs="Times New Roman" w:eastAsia="Times New Roman" w:hAnsi="Times New Roman"/>
          <w:sz w:val="18"/>
          <w:szCs w:val="18"/>
          <w:color w:val="auto"/>
        </w:rPr>
      </w:pPr>
    </w:p>
    <w:p>
      <w:pPr>
        <w:ind w:right="40" w:firstLine="419"/>
        <w:spacing w:after="0" w:line="262" w:lineRule="auto"/>
        <w:tabs>
          <w:tab w:leader="none" w:pos="67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of the Company and its Subsidiaries on any date shall be determined from such Persons’ books maintained in accordance with GAAP, and means, without duplication, cash, cash equivalents (excluding any cryptocurrencies or any other digital currencies) and treasury bonds issued by the United States of America, accrued by the Company and its wholly owned Subsidiaries on a consolidated basis on such date, and the aggregate amount of any accounts receivable (to the extent less than 30 days from invoice date).</w:t>
      </w:r>
    </w:p>
    <w:p>
      <w:pPr>
        <w:spacing w:after="0" w:line="68" w:lineRule="exact"/>
        <w:rPr>
          <w:rFonts w:ascii="Times New Roman" w:cs="Times New Roman" w:eastAsia="Times New Roman" w:hAnsi="Times New Roman"/>
          <w:sz w:val="18"/>
          <w:szCs w:val="18"/>
          <w:color w:val="auto"/>
        </w:rPr>
      </w:pPr>
    </w:p>
    <w:p>
      <w:pPr>
        <w:ind w:right="40" w:firstLine="419"/>
        <w:spacing w:after="0" w:line="254" w:lineRule="auto"/>
        <w:tabs>
          <w:tab w:leader="none" w:pos="67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(iv) the Shoe Business Sale and the Shoe Business Sale Dividend or (v) the liquidation, dissolution, or sale of all or substantially all of the assets of any Current Subsidiary (other than the New Subsidiary (as defined in the Securities Purchase Agreement)).</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60"/>
          </w:cols>
          <w:pgMar w:left="880" w:top="266" w:right="459" w:bottom="1440" w:gutter="0" w:footer="0" w:header="0"/>
        </w:sectPr>
      </w:pPr>
    </w:p>
    <w:bookmarkStart w:id="86" w:name="page87"/>
    <w:bookmarkEnd w:id="86"/>
    <w:p>
      <w:pPr>
        <w:ind w:left="680" w:hanging="261"/>
        <w:spacing w:after="0"/>
        <w:tabs>
          <w:tab w:leader="none" w:pos="6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Change of Control Redemption Premium</w:t>
      </w:r>
      <w:r>
        <w:rPr>
          <w:rFonts w:ascii="Times New Roman" w:cs="Times New Roman" w:eastAsia="Times New Roman" w:hAnsi="Times New Roman"/>
          <w:sz w:val="18"/>
          <w:szCs w:val="18"/>
          <w:color w:val="auto"/>
        </w:rPr>
        <w:t>” means 125%.</w:t>
      </w:r>
    </w:p>
    <w:p>
      <w:pPr>
        <w:spacing w:after="0" w:line="117"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splits, stock dividends, stock combinations, recapitalizations or other similar transactions during such period.</w:t>
      </w:r>
    </w:p>
    <w:p>
      <w:pPr>
        <w:spacing w:after="0" w:line="75" w:lineRule="exact"/>
        <w:rPr>
          <w:rFonts w:ascii="Times New Roman" w:cs="Times New Roman" w:eastAsia="Times New Roman" w:hAnsi="Times New Roman"/>
          <w:sz w:val="18"/>
          <w:szCs w:val="18"/>
          <w:color w:val="auto"/>
        </w:rPr>
      </w:pPr>
    </w:p>
    <w:p>
      <w:pPr>
        <w:ind w:right="40" w:firstLine="419"/>
        <w:spacing w:after="0" w:line="286" w:lineRule="auto"/>
        <w:tabs>
          <w:tab w:leader="none" w:pos="65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(i) the Company’s shares of Class A common stock, $0.0001 par value per share, and (ii) any capital stock into which such common stock shall have been changed or any share capital resulting from a reclassification of such common stock.</w:t>
      </w:r>
    </w:p>
    <w:p>
      <w:pPr>
        <w:spacing w:after="0" w:line="46" w:lineRule="exact"/>
        <w:rPr>
          <w:rFonts w:ascii="Times New Roman" w:cs="Times New Roman" w:eastAsia="Times New Roman" w:hAnsi="Times New Roman"/>
          <w:sz w:val="18"/>
          <w:szCs w:val="18"/>
          <w:color w:val="auto"/>
        </w:rPr>
      </w:pPr>
    </w:p>
    <w:p>
      <w:pPr>
        <w:ind w:firstLine="419"/>
        <w:spacing w:after="0" w:line="268" w:lineRule="auto"/>
        <w:tabs>
          <w:tab w:leader="none" w:pos="63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62" w:lineRule="exact"/>
        <w:rPr>
          <w:rFonts w:ascii="Times New Roman" w:cs="Times New Roman" w:eastAsia="Times New Roman" w:hAnsi="Times New Roman"/>
          <w:sz w:val="18"/>
          <w:szCs w:val="18"/>
          <w:color w:val="auto"/>
        </w:rPr>
      </w:pPr>
    </w:p>
    <w:p>
      <w:pPr>
        <w:ind w:right="320" w:firstLine="419"/>
        <w:spacing w:after="0" w:line="286" w:lineRule="auto"/>
        <w:tabs>
          <w:tab w:leader="none" w:pos="67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Floor Price Condition</w:t>
      </w:r>
      <w:r>
        <w:rPr>
          <w:rFonts w:ascii="Times New Roman" w:cs="Times New Roman" w:eastAsia="Times New Roman" w:hAnsi="Times New Roman"/>
          <w:sz w:val="18"/>
          <w:szCs w:val="18"/>
          <w:color w:val="auto"/>
        </w:rPr>
        <w:t>” means that the relevant Alternate Conversion Price is being determined based on clause (x) of such definition.</w:t>
      </w:r>
    </w:p>
    <w:p>
      <w:pPr>
        <w:spacing w:after="0" w:line="46" w:lineRule="exact"/>
        <w:rPr>
          <w:rFonts w:ascii="Times New Roman" w:cs="Times New Roman" w:eastAsia="Times New Roman" w:hAnsi="Times New Roman"/>
          <w:sz w:val="18"/>
          <w:szCs w:val="18"/>
          <w:color w:val="auto"/>
        </w:rPr>
      </w:pPr>
    </w:p>
    <w:p>
      <w:pPr>
        <w:ind w:firstLine="419"/>
        <w:spacing w:after="0" w:line="268" w:lineRule="auto"/>
        <w:tabs>
          <w:tab w:leader="none" w:pos="67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Subsidiary</w:t>
      </w:r>
      <w:r>
        <w:rPr>
          <w:rFonts w:ascii="Times New Roman" w:cs="Times New Roman" w:eastAsia="Times New Roman" w:hAnsi="Times New Roman"/>
          <w:sz w:val="18"/>
          <w:szCs w:val="18"/>
          <w:color w:val="auto"/>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8"/>
          <w:szCs w:val="18"/>
          <w:b w:val="1"/>
          <w:bCs w:val="1"/>
          <w:color w:val="auto"/>
        </w:rPr>
        <w:t>Current Subsidiaries</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0"/>
          </w:cols>
          <w:pgMar w:left="880" w:top="266" w:right="459" w:bottom="1440" w:gutter="0" w:footer="0" w:header="0"/>
        </w:sectPr>
      </w:pPr>
    </w:p>
    <w:bookmarkStart w:id="87" w:name="page88"/>
    <w:bookmarkEnd w:id="87"/>
    <w:p>
      <w:pPr>
        <w:ind w:right="140" w:firstLine="419"/>
        <w:spacing w:after="0" w:line="286" w:lineRule="auto"/>
        <w:tabs>
          <w:tab w:leader="none" w:pos="7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American, the Nasdaq Capital Market, the Nasdaq Global Select Market, the Nasdaq Global Market or the Principal Market.</w:t>
      </w:r>
    </w:p>
    <w:p>
      <w:pPr>
        <w:spacing w:after="0" w:line="46" w:lineRule="exact"/>
        <w:rPr>
          <w:rFonts w:ascii="Times New Roman" w:cs="Times New Roman" w:eastAsia="Times New Roman" w:hAnsi="Times New Roman"/>
          <w:sz w:val="18"/>
          <w:szCs w:val="18"/>
          <w:color w:val="auto"/>
        </w:rPr>
      </w:pPr>
    </w:p>
    <w:p>
      <w:pPr>
        <w:ind w:firstLine="419"/>
        <w:spacing w:after="0" w:line="251" w:lineRule="auto"/>
        <w:tabs>
          <w:tab w:leader="none" w:pos="67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Conditions</w:t>
      </w:r>
      <w:r>
        <w:rPr>
          <w:rFonts w:ascii="Times New Roman" w:cs="Times New Roman" w:eastAsia="Times New Roman" w:hAnsi="Times New Roman"/>
          <w:sz w:val="18"/>
          <w:szCs w:val="18"/>
          <w:color w:val="auto"/>
        </w:rPr>
        <w:t>” means, with respect to an given date of determination: (i) on each day during the period beginning thirty calendar days prior to such applicable date of determination and ending on and including such applicable date of determination (or, with respect to any Additional Closing (as defined in the Securities Purchase Agreement) determination in the Securities Purchase Agreement, as of the applicable Additional Closing Date (as defined in the Securities Purchase Agreement)) either (x) one or more Registration Statements filed pursuant to the Registration Rights Agreement shall be effective and the prospectus contained therein shall be available on such applicable date of determination (with, for the avoidance of doubt, any shares of Common Stock previously sold pursuant to such prospectus deemed unavailable) for the resale of all shares of Common Stock to be issued in connection with the event requiring this determination (or issuable upon conversion of the Conversion Amount being redeemed, as applicable, in the event requiring this determination at the Alternate Conversion Price then in effect (without regard to any limitations on conversion set forth herein)) (each, a “</w:t>
      </w:r>
      <w:r>
        <w:rPr>
          <w:rFonts w:ascii="Times New Roman" w:cs="Times New Roman" w:eastAsia="Times New Roman" w:hAnsi="Times New Roman"/>
          <w:sz w:val="18"/>
          <w:szCs w:val="18"/>
          <w:b w:val="1"/>
          <w:bCs w:val="1"/>
          <w:color w:val="auto"/>
        </w:rPr>
        <w:t>Required Minimum Securities Amount</w:t>
      </w:r>
      <w:r>
        <w:rPr>
          <w:rFonts w:ascii="Times New Roman" w:cs="Times New Roman" w:eastAsia="Times New Roman" w:hAnsi="Times New Roman"/>
          <w:sz w:val="18"/>
          <w:szCs w:val="18"/>
          <w:color w:val="auto"/>
        </w:rPr>
        <w:t>”), in each case, in accordance with the terms of the Registration Rights Agreement and there shall not have been during such period any Grace Periods (as defined in the Registration Rights Agreement) or (y) all Registrable Securities shall be eligible for sale pursuant to Rule 144 (as defined in the Securities Purchase Agreement) without the need for registration under any applicable federal or state securities laws (in each case, disregarding any limitation on conversion of the Notes, other issuance of securities with respect to the Notes) and no Current Public Information Failure (as defined in the Registration Rights Agreement) exists or is continuing; (ii) on each day during the period beginning thirty calendar days prior to the applicable date of determination and ending on and including the applicable date of determination (the “</w:t>
      </w:r>
      <w:r>
        <w:rPr>
          <w:rFonts w:ascii="Times New Roman" w:cs="Times New Roman" w:eastAsia="Times New Roman" w:hAnsi="Times New Roman"/>
          <w:sz w:val="18"/>
          <w:szCs w:val="18"/>
          <w:b w:val="1"/>
          <w:bCs w:val="1"/>
          <w:color w:val="auto"/>
        </w:rPr>
        <w:t>Equity Conditions Measuring Period</w:t>
      </w:r>
      <w:r>
        <w:rPr>
          <w:rFonts w:ascii="Times New Roman" w:cs="Times New Roman" w:eastAsia="Times New Roman" w:hAnsi="Times New Roman"/>
          <w:sz w:val="18"/>
          <w:szCs w:val="18"/>
          <w:color w:val="auto"/>
        </w:rPr>
        <w:t>”), the Common Stock (including all Registrable Securities) is listed or designated for quotation (as applicable) on an Eligible Market and shall not have been suspended from trading on an Eligible Market (other than suspensions of not more than two (2)Trading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(iii) during the Equity Conditions Measuring Period, the Company shall have delivered all shares of Common Stock issuable upon conversion of this Note on a timely basis as set forth in Section 3 hereof and all other shares of capital stock required to be delivered by the Company on a timely basis as set forth in the other Transaction Documents; (iv) any shares of Common Stock to be issued in connection with the event requiring determination (or issuable upon conversion of the</w:t>
      </w:r>
    </w:p>
    <w:p>
      <w:pPr>
        <w:spacing w:after="0" w:line="14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60"/>
          </w:cols>
          <w:pgMar w:left="880" w:top="266" w:right="459" w:bottom="1440" w:gutter="0" w:footer="0" w:header="0"/>
        </w:sectPr>
      </w:pPr>
    </w:p>
    <w:bookmarkStart w:id="88" w:name="page89"/>
    <w:bookmarkEnd w:id="8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Amount being redeemed in the event requiring this determination) may be issued in full without violating Section 3(d) hereof; (v) any shares of Common Stock to be issued in connection with the event requiring determination (or issuable upon conversion of the Conversion Amount being redeemed in the event requiring this determination (without regards to any limitations on conversion set forth herein))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(1) any Registration Statement required to be filed pursuant to the Registration Rights Agreement to not be effective or the prospectus contained therein to not be available for the resale of the applicable Required Minimum Securities Amount of Registrable Securities in accordance with the terms of the Registration Rights Agreement or (2) any Registrable Securities to not be eligible for sale pursuant to Rule 144 without the need for registration under any applicable federal or state securities laws (in each case, disregarding any limitation on conversion of the Notes, other issuance of securities with respect to the Notes) and no Current Public Information Failure exists or is continuing; (viii) the Holder shall not be in (and no other holder of Notes shall be in) possession of any material, non-public information provided to any of them by the Company, any of its Subsidiaries or any of their respective affiliates, employees, officers, representatives, agents or the like; (ix)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(x) on each Trading Day during the Equity Conditions Measuring Period, there shall not have occurred any Volume Failure or Price Failure as of such applicable date of determination; (xi) on the applicable date of determination (A) no Authorized Share Failure shall exist or be continuing and the applicable Required Minimum Securities Amount of shares of Common Stock are available under the certificate of incorporation of the Company and reserved by the Company to be issued pursuant to the Notes and (B) all shares of Common Stock to be issued in connection with the event requiring this determination (or issuable upon conversion of the Conversion Amount being redeemed in the event requiring this determination (without regards to any limitations on conversion set forth herein)) may be issued in full without resulting in an Authorized Share Failure; (xii) on each day during the Equity Conditions Measuring Period, there shall not have occurred and there shall not exist an Event of Default or an event that with the passage of time or giving of notice would constitute an Event of Default; (xiii) no bone fide dispute shall exist, by and between any of holder of Notes, the Company, the Principal Market (or such applicable Eligible Market in which the Common Stock of the Company is then principally trading) and/or FINRA with respect to any term or provision of any Note or any other Transaction Document and (xiv) the shares of Common Stock issuable pursuant the event requiring the satisfaction of the Equity Conditions are duly authorized and listed and eligible for trading without restriction on an Eligible Market.</w:t>
      </w:r>
    </w:p>
    <w:p>
      <w:pPr>
        <w:spacing w:after="0" w:line="13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40"/>
          </w:cols>
          <w:pgMar w:left="880" w:top="270" w:right="479" w:bottom="1440" w:gutter="0" w:footer="0" w:header="0"/>
        </w:sectPr>
      </w:pPr>
    </w:p>
    <w:bookmarkStart w:id="89" w:name="page90"/>
    <w:bookmarkEnd w:id="89"/>
    <w:p>
      <w:pPr>
        <w:ind w:left="4" w:right="260" w:firstLine="419"/>
        <w:spacing w:after="0" w:line="268" w:lineRule="auto"/>
        <w:tabs>
          <w:tab w:leader="none" w:pos="68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Equity Conditions Failure</w:t>
      </w:r>
      <w:r>
        <w:rPr>
          <w:rFonts w:ascii="Times New Roman" w:cs="Times New Roman" w:eastAsia="Times New Roman" w:hAnsi="Times New Roman"/>
          <w:sz w:val="18"/>
          <w:szCs w:val="18"/>
          <w:color w:val="auto"/>
        </w:rPr>
        <w:t>” means that on any day during the period commencing twenty (20) Trading Days prior to the applicable date of determination (or, with respect to any Additional Closing determination in the Securities Purchase Agreement, as of the applicable Additional Closing Date), the Equity Conditions have not been satisfied (or waived in writing by the Holder).</w:t>
      </w:r>
    </w:p>
    <w:p>
      <w:pPr>
        <w:spacing w:after="0" w:line="62" w:lineRule="exact"/>
        <w:rPr>
          <w:rFonts w:ascii="Times New Roman" w:cs="Times New Roman" w:eastAsia="Times New Roman" w:hAnsi="Times New Roman"/>
          <w:sz w:val="18"/>
          <w:szCs w:val="18"/>
          <w:color w:val="auto"/>
        </w:rPr>
      </w:pPr>
    </w:p>
    <w:p>
      <w:pPr>
        <w:ind w:left="4" w:right="220" w:firstLine="419"/>
        <w:spacing w:after="0" w:line="263" w:lineRule="auto"/>
        <w:tabs>
          <w:tab w:leader="none" w:pos="67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Market Price</w:t>
      </w:r>
      <w:r>
        <w:rPr>
          <w:rFonts w:ascii="Times New Roman" w:cs="Times New Roman" w:eastAsia="Times New Roman" w:hAnsi="Times New Roman"/>
          <w:sz w:val="18"/>
          <w:szCs w:val="18"/>
          <w:color w:val="auto"/>
        </w:rPr>
        <w:t>” means, with respect to any Stock Combination Event Date, the quotient determined by dividing (x) the sum of the VWAP of the Common Stock for each of the five (5) Trading Days with the lowest VWAP of the Common Stock during the fifteen</w:t>
      </w:r>
    </w:p>
    <w:p>
      <w:pPr>
        <w:ind w:left="4" w:right="260" w:hanging="4"/>
        <w:spacing w:after="0" w:line="260" w:lineRule="auto"/>
        <w:tabs>
          <w:tab w:leader="none" w:pos="34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 period ending and including the Trading Day immediately preceding the sixteenth (16th) Trading Day after such Stock Combination Event Date, divided by (y) five (5).</w:t>
      </w:r>
    </w:p>
    <w:p>
      <w:pPr>
        <w:spacing w:after="0" w:line="69" w:lineRule="exact"/>
        <w:rPr>
          <w:rFonts w:ascii="Times New Roman" w:cs="Times New Roman" w:eastAsia="Times New Roman" w:hAnsi="Times New Roman"/>
          <w:sz w:val="18"/>
          <w:szCs w:val="18"/>
          <w:color w:val="auto"/>
        </w:rPr>
      </w:pPr>
    </w:p>
    <w:p>
      <w:pPr>
        <w:ind w:left="4" w:firstLine="419"/>
        <w:spacing w:after="0" w:line="252" w:lineRule="auto"/>
        <w:tabs>
          <w:tab w:leader="none" w:pos="75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Securities</w:t>
      </w:r>
      <w:r>
        <w:rPr>
          <w:rFonts w:ascii="Times New Roman" w:cs="Times New Roman" w:eastAsia="Times New Roman" w:hAnsi="Times New Roman"/>
          <w:sz w:val="18"/>
          <w:szCs w:val="18"/>
          <w:color w:val="auto"/>
        </w:rPr>
        <w:t>” means (i) shares of Common Stock or standard options to purchase Common Stock issued to directors, officers or employees of the Company for services rendered to the Company in their capacity as such pursuant to an Approved Stock Plan (as defined above), provided that (A) all such issuances (taking into account the shares of Common Stock issuable upon exercise of such options) after the Subscription Date pursuant to this clause (i) do not, in the aggregate, exceed more than 5% of the Common Stock issued and outstanding immediately prior to the Subscription Date and (B)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(ii) shares of Common Stock issued upon the conversion or exercise of Convertible Securities or Options (other than standard options to purchase Common Stock issued pursuant to an Approved Stock Plan that are covered by clause (i) above) issued prior to the Subscription Date, provided that the conversion price of any such Convertible Securities (other than standard options to purchase Common Stock issued pursuant to an Approved Stock Plan that are covered by clause (i) above) is not lowered, none of such Convertible Securities or Options (other than standard options to purchase Common Stock issued pursuant to an Approved Stock Plan that are covered by clause (i) above) are amended to increase the number of shares issuable thereunder and none of the terms or conditions of any such Convertible Securities or Options (other than standard options to purchase Common Stock issued pursuant to an Approved Stock Plan that are covered by clause (i) above) are otherwise materially changed in any manner that adversely affects any of the Buyers; and (iii) the shares of Common Stock issuable upon conversion of the Notes or otherwise pursuant to the terms of the Notes; provided, that the terms of the Notes are not amended, modified or changed on or after the Subscription Date (other than antidilution adjustments pursuant to the terms thereof in effect as of the Subscription Date).</w:t>
      </w:r>
    </w:p>
    <w:p>
      <w:pPr>
        <w:spacing w:after="0" w:line="85" w:lineRule="exact"/>
        <w:rPr>
          <w:rFonts w:ascii="Times New Roman" w:cs="Times New Roman" w:eastAsia="Times New Roman" w:hAnsi="Times New Roman"/>
          <w:sz w:val="18"/>
          <w:szCs w:val="18"/>
          <w:color w:val="auto"/>
        </w:rPr>
      </w:pPr>
    </w:p>
    <w:p>
      <w:pPr>
        <w:ind w:left="4" w:right="320" w:firstLine="419"/>
        <w:spacing w:after="0" w:line="286" w:lineRule="auto"/>
        <w:tabs>
          <w:tab w:leader="none" w:pos="77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each of the fiscal quarters adopted by the Company for financial reporting purposes that correspond to the Company’s fiscal year as of the date hereof that ends on December 31.</w:t>
      </w:r>
    </w:p>
    <w:p>
      <w:pPr>
        <w:spacing w:after="0" w:line="9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44"/>
          </w:cols>
          <w:pgMar w:left="876" w:top="266" w:right="479" w:bottom="1440" w:gutter="0" w:footer="0" w:header="0"/>
        </w:sectPr>
      </w:pPr>
    </w:p>
    <w:bookmarkStart w:id="90" w:name="page91"/>
    <w:bookmarkEnd w:id="90"/>
    <w:p>
      <w:pPr>
        <w:ind w:left="444" w:right="680" w:firstLine="419"/>
        <w:spacing w:after="0" w:line="286" w:lineRule="auto"/>
        <w:tabs>
          <w:tab w:leader="none" w:pos="119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adopted by the Company for financial reporting purposes as of the date hereof that ends on December 31.</w:t>
      </w:r>
    </w:p>
    <w:p>
      <w:pPr>
        <w:spacing w:after="0" w:line="46" w:lineRule="exact"/>
        <w:rPr>
          <w:rFonts w:ascii="Times New Roman" w:cs="Times New Roman" w:eastAsia="Times New Roman" w:hAnsi="Times New Roman"/>
          <w:sz w:val="18"/>
          <w:szCs w:val="18"/>
          <w:color w:val="auto"/>
        </w:rPr>
      </w:pPr>
    </w:p>
    <w:p>
      <w:pPr>
        <w:ind w:left="444" w:right="120" w:firstLine="419"/>
        <w:spacing w:after="0" w:line="231" w:lineRule="auto"/>
        <w:tabs>
          <w:tab w:leader="none" w:pos="121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$[__]</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(as adjusted for share splits, share dividends, share combinations, recapitalizations and similar events) provided that if on the six month anniversary of the Issuance Date (each, an “</w:t>
      </w:r>
      <w:r>
        <w:rPr>
          <w:rFonts w:ascii="Times New Roman" w:cs="Times New Roman" w:eastAsia="Times New Roman" w:hAnsi="Times New Roman"/>
          <w:sz w:val="18"/>
          <w:szCs w:val="18"/>
          <w:b w:val="1"/>
          <w:bCs w:val="1"/>
          <w:color w:val="auto"/>
        </w:rPr>
        <w:t>Adjustment Date</w:t>
      </w:r>
      <w:r>
        <w:rPr>
          <w:rFonts w:ascii="Times New Roman" w:cs="Times New Roman" w:eastAsia="Times New Roman" w:hAnsi="Times New Roman"/>
          <w:sz w:val="18"/>
          <w:szCs w:val="18"/>
          <w:color w:val="auto"/>
        </w:rPr>
        <w:t>”), the Floor Price then in effect is higher than the Adjusted Floor Price with respect to the Adjustment Date, on the Adjustment Date the Floor Price shall be automatically lowered to such applicable Adjusted Floor Price.</w:t>
      </w:r>
    </w:p>
    <w:p>
      <w:pPr>
        <w:spacing w:after="0" w:line="86" w:lineRule="exact"/>
        <w:rPr>
          <w:rFonts w:ascii="Times New Roman" w:cs="Times New Roman" w:eastAsia="Times New Roman" w:hAnsi="Times New Roman"/>
          <w:sz w:val="18"/>
          <w:szCs w:val="18"/>
          <w:color w:val="auto"/>
        </w:rPr>
      </w:pPr>
    </w:p>
    <w:p>
      <w:pPr>
        <w:ind w:left="444" w:firstLine="419"/>
        <w:spacing w:after="0" w:line="253" w:lineRule="auto"/>
        <w:tabs>
          <w:tab w:leader="none" w:pos="1192"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w:t>
      </w:r>
    </w:p>
    <w:p>
      <w:pPr>
        <w:spacing w:after="0" w:line="4" w:lineRule="exact"/>
        <w:rPr>
          <w:rFonts w:ascii="Times New Roman" w:cs="Times New Roman" w:eastAsia="Times New Roman" w:hAnsi="Times New Roman"/>
          <w:sz w:val="18"/>
          <w:szCs w:val="18"/>
          <w:color w:val="auto"/>
        </w:rPr>
      </w:pPr>
    </w:p>
    <w:p>
      <w:pPr>
        <w:ind w:left="444" w:right="20" w:hanging="4"/>
        <w:spacing w:after="0" w:line="250" w:lineRule="auto"/>
        <w:tabs>
          <w:tab w:leader="none" w:pos="68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in any transaction or series or related transactions,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w:t>
      </w:r>
    </w:p>
    <w:p>
      <w:pPr>
        <w:spacing w:after="0" w:line="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reorganize, recapitalize or reclassify its Common Stock, (B) that the Company shall, directly or indirectly, including through subsidiaries,</w:t>
      </w:r>
    </w:p>
    <w:p>
      <w:pPr>
        <w:spacing w:after="0" w:line="9" w:lineRule="exact"/>
        <w:rPr>
          <w:rFonts w:ascii="Times New Roman" w:cs="Times New Roman" w:eastAsia="Times New Roman" w:hAnsi="Times New Roman"/>
          <w:sz w:val="18"/>
          <w:szCs w:val="18"/>
          <w:color w:val="auto"/>
        </w:rPr>
      </w:pPr>
    </w:p>
    <w:p>
      <w:pPr>
        <w:ind w:left="444"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9" w:lineRule="exact"/>
        <w:rPr>
          <w:sz w:val="20"/>
          <w:szCs w:val="20"/>
          <w:color w:val="auto"/>
        </w:rPr>
      </w:pPr>
    </w:p>
    <w:p>
      <w:pPr>
        <w:ind w:left="5424" w:right="1900" w:hanging="5424"/>
        <w:spacing w:after="0" w:line="334" w:lineRule="auto"/>
        <w:tabs>
          <w:tab w:leader="none" w:pos="438" w:val="left"/>
        </w:tabs>
        <w:numPr>
          <w:ilvl w:val="0"/>
          <w:numId w:val="1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20% of the Nasdaq Minimum Price as of the Trading Day ended immediately prior to the applicable Closing Date. 51</w:t>
      </w:r>
    </w:p>
    <w:p>
      <w:pPr>
        <w:sectPr>
          <w:pgSz w:w="11900" w:h="16838" w:orient="portrait"/>
          <w:cols w:equalWidth="0" w:num="1">
            <w:col w:w="11024"/>
          </w:cols>
          <w:pgMar w:left="436" w:top="266" w:right="439" w:bottom="1440" w:gutter="0" w:footer="0" w:header="0"/>
        </w:sectPr>
      </w:pPr>
    </w:p>
    <w:bookmarkStart w:id="91" w:name="page92"/>
    <w:bookmarkEnd w:id="91"/>
    <w:p>
      <w:pPr>
        <w:jc w:val="both"/>
        <w:ind w:left="4" w:right="1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combination, reorganization, recapitalization, spin-off, scheme of arrangement, reorganization, recapitalization or reclassification or otherwise in any manner whatsoever, of either (x) at least 50% of the aggregate ordinary voting power represented by issued and outstanding Common Stock,</w:t>
      </w:r>
    </w:p>
    <w:p>
      <w:pPr>
        <w:spacing w:after="0" w:line="1" w:lineRule="exact"/>
        <w:rPr>
          <w:sz w:val="20"/>
          <w:szCs w:val="20"/>
          <w:color w:val="auto"/>
        </w:rPr>
      </w:pPr>
    </w:p>
    <w:p>
      <w:pPr>
        <w:ind w:left="4" w:hanging="4"/>
        <w:spacing w:after="0" w:line="268" w:lineRule="auto"/>
        <w:tabs>
          <w:tab w:leader="none" w:pos="258"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50% of the aggregate ordinary voting power represented by issued and outstanding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65" w:lineRule="exact"/>
        <w:rPr>
          <w:rFonts w:ascii="Times New Roman" w:cs="Times New Roman" w:eastAsia="Times New Roman" w:hAnsi="Times New Roman"/>
          <w:sz w:val="17"/>
          <w:szCs w:val="17"/>
          <w:color w:val="auto"/>
        </w:rPr>
      </w:pPr>
    </w:p>
    <w:p>
      <w:pPr>
        <w:ind w:left="704" w:hanging="281"/>
        <w:spacing w:after="0"/>
        <w:tabs>
          <w:tab w:leader="none" w:pos="70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117" w:lineRule="exact"/>
        <w:rPr>
          <w:rFonts w:ascii="Times New Roman" w:cs="Times New Roman" w:eastAsia="Times New Roman" w:hAnsi="Times New Roman"/>
          <w:sz w:val="18"/>
          <w:szCs w:val="18"/>
          <w:color w:val="auto"/>
        </w:rPr>
      </w:pPr>
    </w:p>
    <w:p>
      <w:pPr>
        <w:ind w:left="4" w:right="100" w:firstLine="419"/>
        <w:spacing w:after="0" w:line="268" w:lineRule="auto"/>
        <w:tabs>
          <w:tab w:leader="none" w:pos="77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GPU Lease</w:t>
      </w:r>
      <w:r>
        <w:rPr>
          <w:rFonts w:ascii="Times New Roman" w:cs="Times New Roman" w:eastAsia="Times New Roman" w:hAnsi="Times New Roman"/>
          <w:sz w:val="18"/>
          <w:szCs w:val="18"/>
          <w:color w:val="auto"/>
        </w:rPr>
        <w:t>” means that certain Master Lease Agreement, #0001, dated on or about the date hereof, by and between NewBird AI, LLC, as lessor, and SPRE NKC MO, LLC, as lessee, as the same may be amended, restated, amended restated, supplemented, extended, renewed or otherwise modified from time to time, together with each Lease Schedule attached thereto or delivered pursuant to the terms thereof.</w:t>
      </w:r>
    </w:p>
    <w:p>
      <w:pPr>
        <w:spacing w:after="0" w:line="62"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117" w:lineRule="exact"/>
        <w:rPr>
          <w:rFonts w:ascii="Times New Roman" w:cs="Times New Roman" w:eastAsia="Times New Roman" w:hAnsi="Times New Roman"/>
          <w:sz w:val="18"/>
          <w:szCs w:val="18"/>
          <w:color w:val="auto"/>
        </w:rPr>
      </w:pPr>
    </w:p>
    <w:p>
      <w:pPr>
        <w:ind w:left="4" w:right="60" w:firstLine="419"/>
        <w:spacing w:after="0" w:line="268" w:lineRule="auto"/>
        <w:tabs>
          <w:tab w:leader="none" w:pos="69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Pro Rata Amount</w:t>
      </w:r>
      <w:r>
        <w:rPr>
          <w:rFonts w:ascii="Times New Roman" w:cs="Times New Roman" w:eastAsia="Times New Roman" w:hAnsi="Times New Roman"/>
          <w:sz w:val="18"/>
          <w:szCs w:val="18"/>
          <w:color w:val="auto"/>
        </w:rPr>
        <w:t>” means a fraction (i) the numerator of which is the original Principal amount of this Note on the Applicable Closing Date and (ii) the denominator of which is the aggregate original principal amount of all Notes issued to the initial purchasers pursuant to the Securities Purchase Agreement on the Applicable Closing Date.</w:t>
      </w:r>
    </w:p>
    <w:p>
      <w:pPr>
        <w:spacing w:after="0" w:line="62"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shall have the meaning ascribed to such term in the Securities Purchase Agreement.</w:t>
      </w:r>
    </w:p>
    <w:p>
      <w:pPr>
        <w:spacing w:after="0" w:line="11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Date</w:t>
      </w:r>
      <w:r>
        <w:rPr>
          <w:rFonts w:ascii="Times New Roman" w:cs="Times New Roman" w:eastAsia="Times New Roman" w:hAnsi="Times New Roman"/>
          <w:sz w:val="18"/>
          <w:szCs w:val="18"/>
          <w:color w:val="auto"/>
        </w:rPr>
        <w:t>” shall have the meaning ascribed to such term in Section 2(a) of this Note.</w:t>
      </w:r>
    </w:p>
    <w:p>
      <w:pPr>
        <w:spacing w:after="0" w:line="117" w:lineRule="exact"/>
        <w:rPr>
          <w:sz w:val="20"/>
          <w:szCs w:val="20"/>
          <w:color w:val="auto"/>
        </w:rPr>
      </w:pPr>
    </w:p>
    <w:p>
      <w:pPr>
        <w:ind w:left="4" w:right="340" w:firstLine="419"/>
        <w:spacing w:after="0" w:line="215" w:lineRule="auto"/>
        <w:tabs>
          <w:tab w:leader="none" w:pos="69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Notice Due Date</w:t>
      </w:r>
      <w:r>
        <w:rPr>
          <w:rFonts w:ascii="Times New Roman" w:cs="Times New Roman" w:eastAsia="Times New Roman" w:hAnsi="Times New Roman"/>
          <w:sz w:val="18"/>
          <w:szCs w:val="18"/>
          <w:color w:val="auto"/>
        </w:rPr>
        <w:t>” means, with respect to any given Interest Date, the twenty-first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Trading Day immediately prior to such Interest Date.</w:t>
      </w:r>
    </w:p>
    <w:p>
      <w:pPr>
        <w:spacing w:after="0" w:line="87" w:lineRule="exact"/>
        <w:rPr>
          <w:sz w:val="20"/>
          <w:szCs w:val="20"/>
          <w:color w:val="auto"/>
        </w:rPr>
      </w:pPr>
    </w:p>
    <w:p>
      <w:pPr>
        <w:jc w:val="center"/>
        <w:ind w:left="4984" w:right="880" w:hanging="4561"/>
        <w:spacing w:after="0" w:line="458" w:lineRule="auto"/>
        <w:tabs>
          <w:tab w:leader="none" w:pos="69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means twelve percent (12%) per annum, as may be adjusted from time to time in accordance with Section 2. 52</w:t>
      </w:r>
    </w:p>
    <w:p>
      <w:pPr>
        <w:sectPr>
          <w:pgSz w:w="11900" w:h="16838" w:orient="portrait"/>
          <w:cols w:equalWidth="0" w:num="1">
            <w:col w:w="10564"/>
          </w:cols>
          <w:pgMar w:left="876" w:top="270" w:right="459" w:bottom="1440" w:gutter="0" w:footer="0" w:header="0"/>
        </w:sectPr>
      </w:pPr>
    </w:p>
    <w:bookmarkStart w:id="92" w:name="page93"/>
    <w:bookmarkEnd w:id="92"/>
    <w:p>
      <w:pPr>
        <w:ind w:left="444" w:right="220" w:firstLine="419"/>
        <w:spacing w:after="0" w:line="268" w:lineRule="auto"/>
        <w:tabs>
          <w:tab w:leader="none" w:pos="131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spacing w:after="0" w:line="62" w:lineRule="exact"/>
        <w:rPr>
          <w:rFonts w:ascii="Times New Roman" w:cs="Times New Roman" w:eastAsia="Times New Roman" w:hAnsi="Times New Roman"/>
          <w:sz w:val="18"/>
          <w:szCs w:val="18"/>
          <w:color w:val="auto"/>
        </w:rPr>
      </w:pPr>
    </w:p>
    <w:p>
      <w:pPr>
        <w:ind w:left="444" w:right="40" w:firstLine="419"/>
        <w:spacing w:after="0" w:line="238" w:lineRule="auto"/>
        <w:tabs>
          <w:tab w:leader="none" w:pos="121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 ]</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Change of Control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spacing w:after="0" w:line="91" w:lineRule="exact"/>
        <w:rPr>
          <w:rFonts w:ascii="Times New Roman" w:cs="Times New Roman" w:eastAsia="Times New Roman" w:hAnsi="Times New Roman"/>
          <w:sz w:val="18"/>
          <w:szCs w:val="18"/>
          <w:color w:val="auto"/>
        </w:rPr>
      </w:pPr>
    </w:p>
    <w:p>
      <w:pPr>
        <w:ind w:left="444" w:firstLine="419"/>
        <w:spacing w:after="0" w:line="268" w:lineRule="auto"/>
        <w:tabs>
          <w:tab w:leader="none" w:pos="121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Subsidiary</w:t>
      </w:r>
      <w:r>
        <w:rPr>
          <w:rFonts w:ascii="Times New Roman" w:cs="Times New Roman" w:eastAsia="Times New Roman" w:hAnsi="Times New Roman"/>
          <w:sz w:val="18"/>
          <w:szCs w:val="18"/>
          <w:color w:val="auto"/>
        </w:rPr>
        <w:t>” means, as of any date of determination, any Person in which the Company after the Subscription Date, directly or indirectly, (i) owns or acquires any of the outstanding capital stock or holds any equity or similar interest of such Person or (ii) controls or operates all or any part of the business, operations or administration of such Person, and all of the foregoing, collectively, “</w:t>
      </w:r>
      <w:r>
        <w:rPr>
          <w:rFonts w:ascii="Times New Roman" w:cs="Times New Roman" w:eastAsia="Times New Roman" w:hAnsi="Times New Roman"/>
          <w:sz w:val="18"/>
          <w:szCs w:val="18"/>
          <w:b w:val="1"/>
          <w:bCs w:val="1"/>
          <w:color w:val="auto"/>
        </w:rPr>
        <w:t>New Subsidiaries</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1204" w:hanging="341"/>
        <w:spacing w:after="0"/>
        <w:tabs>
          <w:tab w:leader="none" w:pos="120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117" w:lineRule="exact"/>
        <w:rPr>
          <w:rFonts w:ascii="Times New Roman" w:cs="Times New Roman" w:eastAsia="Times New Roman" w:hAnsi="Times New Roman"/>
          <w:sz w:val="18"/>
          <w:szCs w:val="18"/>
          <w:color w:val="auto"/>
        </w:rPr>
      </w:pPr>
    </w:p>
    <w:p>
      <w:pPr>
        <w:ind w:left="444" w:right="60" w:firstLine="419"/>
        <w:spacing w:after="0" w:line="268" w:lineRule="auto"/>
        <w:tabs>
          <w:tab w:leader="none" w:pos="121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62" w:lineRule="exact"/>
        <w:rPr>
          <w:rFonts w:ascii="Times New Roman" w:cs="Times New Roman" w:eastAsia="Times New Roman" w:hAnsi="Times New Roman"/>
          <w:sz w:val="18"/>
          <w:szCs w:val="18"/>
          <w:color w:val="auto"/>
        </w:rPr>
      </w:pPr>
    </w:p>
    <w:p>
      <w:pPr>
        <w:jc w:val="both"/>
        <w:ind w:left="444" w:right="320" w:firstLine="419"/>
        <w:spacing w:after="0" w:line="262" w:lineRule="auto"/>
        <w:tabs>
          <w:tab w:leader="none" w:pos="115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 (i) Indebtedness evidenced by this Note and the Other Notes, (ii) on or prior to the Shoe Business Sale, Indebtedness set forth on Schedule 3(s) to the Securities Purchase Agreement, as in effect as of the Subscription Date, (iii) Indebtedness secured by Permitted Liens or unsecured but as described in clauses (iv) and (v) of the definition of Permitted Liens and (iv) prior to the Shoe Business Sale, Permitted Senior Indebtedness.</w:t>
      </w:r>
    </w:p>
    <w:p>
      <w:pPr>
        <w:spacing w:after="0" w:line="68" w:lineRule="exact"/>
        <w:rPr>
          <w:rFonts w:ascii="Times New Roman" w:cs="Times New Roman" w:eastAsia="Times New Roman" w:hAnsi="Times New Roman"/>
          <w:sz w:val="18"/>
          <w:szCs w:val="18"/>
          <w:color w:val="auto"/>
        </w:rPr>
      </w:pPr>
    </w:p>
    <w:p>
      <w:pPr>
        <w:ind w:left="444" w:right="80" w:firstLine="419"/>
        <w:spacing w:after="0" w:line="291" w:lineRule="auto"/>
        <w:tabs>
          <w:tab w:leader="none" w:pos="1172"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Liens</w:t>
      </w:r>
      <w:r>
        <w:rPr>
          <w:rFonts w:ascii="Times New Roman" w:cs="Times New Roman" w:eastAsia="Times New Roman" w:hAnsi="Times New Roman"/>
          <w:sz w:val="17"/>
          <w:szCs w:val="17"/>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 w:lineRule="exact"/>
        <w:rPr>
          <w:sz w:val="20"/>
          <w:szCs w:val="20"/>
          <w:color w:val="auto"/>
        </w:rPr>
      </w:pPr>
    </w:p>
    <w:p>
      <w:pPr>
        <w:ind w:left="424" w:hanging="424"/>
        <w:spacing w:after="0"/>
        <w:tabs>
          <w:tab w:leader="none" w:pos="424" w:val="left"/>
        </w:tabs>
        <w:numPr>
          <w:ilvl w:val="0"/>
          <w:numId w:val="13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second anniversary of the Issuance Date.</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66" w:right="459" w:bottom="1440" w:gutter="0" w:footer="0" w:header="0"/>
        </w:sectPr>
      </w:pPr>
    </w:p>
    <w:bookmarkStart w:id="93" w:name="page94"/>
    <w:bookmarkEnd w:id="9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the Applicable Default Dollar Threshold,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 favor of customs and revenue authorities arising as a matter of law to secure payments of custom duties in connection with the importation of goods, and (vii) Liens arising from judgments, decrees or attachments in circumstances not constituting an Event of Default under Section 4(a)(xii) and (viii) prior to the Shoe Business Sale, Liens with respect to the Permitted Senior Indebtedness Collateral.</w:t>
      </w:r>
    </w:p>
    <w:p>
      <w:pPr>
        <w:spacing w:after="0" w:line="80" w:lineRule="exact"/>
        <w:rPr>
          <w:sz w:val="20"/>
          <w:szCs w:val="20"/>
          <w:color w:val="auto"/>
        </w:rPr>
      </w:pPr>
    </w:p>
    <w:p>
      <w:pPr>
        <w:ind w:right="60" w:firstLine="419"/>
        <w:spacing w:after="0" w:line="237" w:lineRule="auto"/>
        <w:tabs>
          <w:tab w:leader="none" w:pos="68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Senior Indebtedness</w:t>
      </w:r>
      <w:r>
        <w:rPr>
          <w:rFonts w:ascii="Times New Roman" w:cs="Times New Roman" w:eastAsia="Times New Roman" w:hAnsi="Times New Roman"/>
          <w:sz w:val="18"/>
          <w:szCs w:val="18"/>
          <w:color w:val="auto"/>
        </w:rPr>
        <w:t>” means that certain Credit Agreement dated as of June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2025, by and between the Company, Allbirds International, Inc., and Second Avenue Capital Partners LLC, as in effect as of the Subscription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aggregate outstanding principal amount of such Indebtedness permitted hereunder does not at any time exceed the amount of the Senior Debt Cap (as defined in that certain Subordination Agreement, dated as of the date hereof, by and between Second Avenue Capital Partners LLC, [*], the Company, Allbirds International, Inc. and Newbird AI, LLC, the “</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plus the Excluded Obligations (as defined in the Subordination Agreement).</w:t>
      </w:r>
    </w:p>
    <w:p>
      <w:pPr>
        <w:spacing w:after="0" w:line="86" w:lineRule="exact"/>
        <w:rPr>
          <w:rFonts w:ascii="Times New Roman" w:cs="Times New Roman" w:eastAsia="Times New Roman" w:hAnsi="Times New Roman"/>
          <w:sz w:val="18"/>
          <w:szCs w:val="18"/>
          <w:color w:val="auto"/>
        </w:rPr>
      </w:pPr>
    </w:p>
    <w:p>
      <w:pPr>
        <w:ind w:right="520" w:firstLine="419"/>
        <w:spacing w:after="0" w:line="286" w:lineRule="auto"/>
        <w:tabs>
          <w:tab w:leader="none" w:pos="7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Senior Indebtedness Collateral</w:t>
      </w:r>
      <w:r>
        <w:rPr>
          <w:rFonts w:ascii="Times New Roman" w:cs="Times New Roman" w:eastAsia="Times New Roman" w:hAnsi="Times New Roman"/>
          <w:sz w:val="18"/>
          <w:szCs w:val="18"/>
          <w:color w:val="auto"/>
        </w:rPr>
        <w:t>” means any Excluded Collateral (as defined in the Security Agreement) secured by Permitted Liens by the holders of Permitted Senior Indebtedness as in effect as of the Subscription Date.</w:t>
      </w:r>
    </w:p>
    <w:p>
      <w:pPr>
        <w:spacing w:after="0" w:line="46" w:lineRule="exact"/>
        <w:rPr>
          <w:rFonts w:ascii="Times New Roman" w:cs="Times New Roman" w:eastAsia="Times New Roman" w:hAnsi="Times New Roman"/>
          <w:sz w:val="18"/>
          <w:szCs w:val="18"/>
          <w:color w:val="auto"/>
        </w:rPr>
      </w:pPr>
    </w:p>
    <w:p>
      <w:pPr>
        <w:ind w:right="460" w:firstLine="419"/>
        <w:spacing w:after="0" w:line="286" w:lineRule="auto"/>
        <w:tabs>
          <w:tab w:leader="none" w:pos="7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46" w:lineRule="exact"/>
        <w:rPr>
          <w:rFonts w:ascii="Times New Roman" w:cs="Times New Roman" w:eastAsia="Times New Roman" w:hAnsi="Times New Roman"/>
          <w:sz w:val="18"/>
          <w:szCs w:val="18"/>
          <w:color w:val="auto"/>
        </w:rPr>
      </w:pPr>
    </w:p>
    <w:p>
      <w:pPr>
        <w:ind w:right="20" w:firstLine="419"/>
        <w:spacing w:after="0" w:line="259" w:lineRule="auto"/>
        <w:tabs>
          <w:tab w:leader="none" w:pos="84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 Failure</w:t>
      </w:r>
      <w:r>
        <w:rPr>
          <w:rFonts w:ascii="Times New Roman" w:cs="Times New Roman" w:eastAsia="Times New Roman" w:hAnsi="Times New Roman"/>
          <w:sz w:val="18"/>
          <w:szCs w:val="18"/>
          <w:color w:val="auto"/>
        </w:rPr>
        <w:t>” means, with respect to a particular date of determination, the VWAP of the Common Stock on any Trading Day during the twenty (20) Trading Day period ending on the Trading Day immediately preceding such date of determination fails to exceed $1.00 (as adjusted for stock splits, stock dividends, stock combinations, recapitalizations or other similar transactions occurring after the Subscription Date). All such determinations to be appropriately adjusted for any stock splits, stock dividends, stock combinations, recapitalizations or other similar transactions during any such measuring period.</w:t>
      </w:r>
    </w:p>
    <w:p>
      <w:pPr>
        <w:spacing w:after="0" w:line="71"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Global Select Market.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60"/>
          </w:cols>
          <w:pgMar w:left="880" w:top="270" w:right="459" w:bottom="1440" w:gutter="0" w:footer="0" w:header="0"/>
        </w:sectPr>
      </w:pPr>
    </w:p>
    <w:bookmarkStart w:id="94" w:name="page95"/>
    <w:bookmarkEnd w:id="94"/>
    <w:p>
      <w:pPr>
        <w:ind w:firstLine="419"/>
        <w:spacing w:after="0" w:line="268" w:lineRule="auto"/>
        <w:tabs>
          <w:tab w:leader="none" w:pos="76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Redemption Notices</w:t>
      </w:r>
      <w:r>
        <w:rPr>
          <w:rFonts w:ascii="Times New Roman" w:cs="Times New Roman" w:eastAsia="Times New Roman" w:hAnsi="Times New Roman"/>
          <w:sz w:val="18"/>
          <w:szCs w:val="18"/>
          <w:color w:val="auto"/>
        </w:rPr>
        <w:t>” means, collectively, the Event of Default Redemption Notices, the Company Optional Redemption Notices, the Asset Sale Redemption Notices, the Subsequent Placement Redemption Notices and the Change of Control Redemption Notices, and each of the foregoing, individually,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Premium</w:t>
      </w:r>
      <w:r>
        <w:rPr>
          <w:rFonts w:ascii="Times New Roman" w:cs="Times New Roman" w:eastAsia="Times New Roman" w:hAnsi="Times New Roman"/>
          <w:sz w:val="18"/>
          <w:szCs w:val="18"/>
          <w:color w:val="auto"/>
        </w:rPr>
        <w:t>” means 125%.</w:t>
      </w:r>
    </w:p>
    <w:p>
      <w:pPr>
        <w:spacing w:after="0" w:line="117" w:lineRule="exact"/>
        <w:rPr>
          <w:sz w:val="20"/>
          <w:szCs w:val="20"/>
          <w:color w:val="auto"/>
        </w:rPr>
      </w:pPr>
    </w:p>
    <w:p>
      <w:pPr>
        <w:jc w:val="both"/>
        <w:ind w:right="60" w:firstLine="419"/>
        <w:spacing w:after="0" w:line="268" w:lineRule="auto"/>
        <w:tabs>
          <w:tab w:leader="none" w:pos="82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Prices</w:t>
      </w:r>
      <w:r>
        <w:rPr>
          <w:rFonts w:ascii="Times New Roman" w:cs="Times New Roman" w:eastAsia="Times New Roman" w:hAnsi="Times New Roman"/>
          <w:sz w:val="18"/>
          <w:szCs w:val="18"/>
          <w:color w:val="auto"/>
        </w:rPr>
        <w:t>” means, collectively, Event of Default Redemption Prices, the Company Optional Redemption Prices, the Asset Sale Redemption Prices, the Subsequent Placement Redemption Prices and the Change of Control Redemption Prices, and each of the foregoing, individually, a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right="40" w:firstLine="419"/>
        <w:spacing w:after="0" w:line="262" w:lineRule="auto"/>
        <w:tabs>
          <w:tab w:leader="none" w:pos="85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that certain registration rights agreement, dated as of the Initial Closing Date (as defined in the Securities Purchase Agreement), by and among the Company and the initial holders of the Notes relating to, among other things, the registration of the resale of the Common Stock issuable upon conversion of the Notes or otherwise pursuant to the terms of the Notes, as may be amended from time to time.</w:t>
      </w:r>
    </w:p>
    <w:p>
      <w:pPr>
        <w:spacing w:after="0" w:line="68"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117" w:lineRule="exact"/>
        <w:rPr>
          <w:rFonts w:ascii="Times New Roman" w:cs="Times New Roman" w:eastAsia="Times New Roman" w:hAnsi="Times New Roman"/>
          <w:sz w:val="18"/>
          <w:szCs w:val="18"/>
          <w:color w:val="auto"/>
        </w:rPr>
      </w:pPr>
    </w:p>
    <w:p>
      <w:pPr>
        <w:ind w:right="200" w:firstLine="419"/>
        <w:spacing w:after="0" w:line="268" w:lineRule="auto"/>
        <w:tabs>
          <w:tab w:leader="none" w:pos="85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means that certain amended and restated securities purchase agreement, dated as of the Subscription Date, by and among the Company and the initial holders of the Notes pursuant to which the Company issued the Notes, as may be amended from time to time.</w:t>
      </w:r>
    </w:p>
    <w:p>
      <w:pPr>
        <w:spacing w:after="0" w:line="62"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shall have the meaning as set forth in the Securities Purchase Agreement.</w:t>
      </w:r>
    </w:p>
    <w:p>
      <w:pPr>
        <w:spacing w:after="0" w:line="117" w:lineRule="exact"/>
        <w:rPr>
          <w:rFonts w:ascii="Times New Roman" w:cs="Times New Roman" w:eastAsia="Times New Roman" w:hAnsi="Times New Roman"/>
          <w:sz w:val="18"/>
          <w:szCs w:val="18"/>
          <w:color w:val="auto"/>
        </w:rPr>
      </w:pPr>
    </w:p>
    <w:p>
      <w:pPr>
        <w:ind w:right="20" w:firstLine="419"/>
        <w:spacing w:after="0" w:line="268" w:lineRule="auto"/>
        <w:tabs>
          <w:tab w:leader="none" w:pos="76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Shoe Business Sale</w:t>
      </w:r>
      <w:r>
        <w:rPr>
          <w:rFonts w:ascii="Times New Roman" w:cs="Times New Roman" w:eastAsia="Times New Roman" w:hAnsi="Times New Roman"/>
          <w:sz w:val="18"/>
          <w:szCs w:val="18"/>
          <w:color w:val="auto"/>
        </w:rPr>
        <w:t>” means the sale of assets as contemplated in the Asset Purchase Agreement, dated March 29, 2026, as may be amended from time to time, by and between Allbirds, Inc. and Allbirds IP, LLC, and as described in the proxy statement filed by the Company on April 14, 2026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firstLine="419"/>
        <w:spacing w:after="0" w:line="286" w:lineRule="auto"/>
        <w:tabs>
          <w:tab w:leader="none" w:pos="85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Shoe Business Sale Dividend</w:t>
      </w:r>
      <w:r>
        <w:rPr>
          <w:rFonts w:ascii="Times New Roman" w:cs="Times New Roman" w:eastAsia="Times New Roman" w:hAnsi="Times New Roman"/>
          <w:sz w:val="18"/>
          <w:szCs w:val="18"/>
          <w:color w:val="auto"/>
        </w:rPr>
        <w:t>” means the dividend or distribution contemplated to paid to stockholders following the consummation of the Shoe Business Sale as described in the Proxy Statement.</w:t>
      </w:r>
    </w:p>
    <w:p>
      <w:pPr>
        <w:spacing w:after="0" w:line="46" w:lineRule="exact"/>
        <w:rPr>
          <w:rFonts w:ascii="Times New Roman" w:cs="Times New Roman" w:eastAsia="Times New Roman" w:hAnsi="Times New Roman"/>
          <w:sz w:val="18"/>
          <w:szCs w:val="18"/>
          <w:color w:val="auto"/>
        </w:rPr>
      </w:pPr>
    </w:p>
    <w:p>
      <w:pPr>
        <w:ind w:left="860" w:hanging="441"/>
        <w:spacing w:after="0"/>
        <w:tabs>
          <w:tab w:leader="none" w:pos="8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Date</w:t>
      </w:r>
      <w:r>
        <w:rPr>
          <w:rFonts w:ascii="Times New Roman" w:cs="Times New Roman" w:eastAsia="Times New Roman" w:hAnsi="Times New Roman"/>
          <w:sz w:val="18"/>
          <w:szCs w:val="18"/>
          <w:color w:val="auto"/>
        </w:rPr>
        <w:t>” means April 19, 2026.</w:t>
      </w:r>
    </w:p>
    <w:p>
      <w:pPr>
        <w:spacing w:after="0" w:line="117" w:lineRule="exact"/>
        <w:rPr>
          <w:rFonts w:ascii="Times New Roman" w:cs="Times New Roman" w:eastAsia="Times New Roman" w:hAnsi="Times New Roman"/>
          <w:sz w:val="18"/>
          <w:szCs w:val="18"/>
          <w:color w:val="auto"/>
        </w:rPr>
      </w:pPr>
    </w:p>
    <w:p>
      <w:pPr>
        <w:ind w:right="120" w:firstLine="419"/>
        <w:spacing w:after="0" w:line="286" w:lineRule="auto"/>
        <w:tabs>
          <w:tab w:leader="none" w:pos="7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means, as of any date of determination, collectively, all Current Subsidiaries and all New Subsidiaries, and each of the foregoing, individually,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520"/>
          </w:cols>
          <w:pgMar w:left="880" w:top="266" w:right="499" w:bottom="1440" w:gutter="0" w:footer="0" w:header="0"/>
        </w:sectPr>
      </w:pPr>
    </w:p>
    <w:bookmarkStart w:id="95" w:name="page96"/>
    <w:bookmarkEnd w:id="95"/>
    <w:p>
      <w:pPr>
        <w:jc w:val="both"/>
        <w:ind w:right="240" w:firstLine="419"/>
        <w:spacing w:after="0" w:line="268" w:lineRule="auto"/>
        <w:tabs>
          <w:tab w:leader="none" w:pos="8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62" w:lineRule="exact"/>
        <w:rPr>
          <w:rFonts w:ascii="Times New Roman" w:cs="Times New Roman" w:eastAsia="Times New Roman" w:hAnsi="Times New Roman"/>
          <w:sz w:val="18"/>
          <w:szCs w:val="18"/>
          <w:color w:val="auto"/>
        </w:rPr>
      </w:pPr>
    </w:p>
    <w:p>
      <w:pPr>
        <w:ind w:firstLine="419"/>
        <w:spacing w:after="0" w:line="254" w:lineRule="auto"/>
        <w:tabs>
          <w:tab w:leader="none" w:pos="73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p>
    <w:p>
      <w:pPr>
        <w:spacing w:after="0" w:line="80" w:lineRule="exact"/>
        <w:rPr>
          <w:rFonts w:ascii="Times New Roman" w:cs="Times New Roman" w:eastAsia="Times New Roman" w:hAnsi="Times New Roman"/>
          <w:sz w:val="18"/>
          <w:szCs w:val="18"/>
          <w:color w:val="auto"/>
        </w:rPr>
      </w:pPr>
    </w:p>
    <w:p>
      <w:pPr>
        <w:ind w:right="140" w:firstLine="419"/>
        <w:spacing w:after="0" w:line="291" w:lineRule="auto"/>
        <w:tabs>
          <w:tab w:leader="none" w:pos="100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Volume Failure</w:t>
      </w:r>
      <w:r>
        <w:rPr>
          <w:rFonts w:ascii="Times New Roman" w:cs="Times New Roman" w:eastAsia="Times New Roman" w:hAnsi="Times New Roman"/>
          <w:sz w:val="17"/>
          <w:szCs w:val="17"/>
          <w:color w:val="auto"/>
        </w:rPr>
        <w:t>” means, with respect to a particular date of determination, the aggregate daily dollar trading volume (as reported on Bloomberg) of the Common Stock on the Principal Market on any Trading Day during the twenty (20) Trading Day period ending on the Trading Day immediately preceding such date of determination (such period, the “</w:t>
      </w:r>
      <w:r>
        <w:rPr>
          <w:rFonts w:ascii="Times New Roman" w:cs="Times New Roman" w:eastAsia="Times New Roman" w:hAnsi="Times New Roman"/>
          <w:sz w:val="17"/>
          <w:szCs w:val="17"/>
          <w:b w:val="1"/>
          <w:bCs w:val="1"/>
          <w:color w:val="auto"/>
        </w:rPr>
        <w:t>Volume Failure Measuring Period</w:t>
      </w:r>
      <w:r>
        <w:rPr>
          <w:rFonts w:ascii="Times New Roman" w:cs="Times New Roman" w:eastAsia="Times New Roman" w:hAnsi="Times New Roman"/>
          <w:sz w:val="17"/>
          <w:szCs w:val="17"/>
          <w:color w:val="auto"/>
        </w:rPr>
        <w:t>”), is less than $300,000.</w:t>
      </w:r>
    </w:p>
    <w:p>
      <w:pPr>
        <w:spacing w:after="0" w:line="44" w:lineRule="exact"/>
        <w:rPr>
          <w:rFonts w:ascii="Times New Roman" w:cs="Times New Roman" w:eastAsia="Times New Roman" w:hAnsi="Times New Roman"/>
          <w:sz w:val="17"/>
          <w:szCs w:val="17"/>
          <w:color w:val="auto"/>
        </w:rPr>
      </w:pPr>
    </w:p>
    <w:p>
      <w:pPr>
        <w:ind w:firstLine="419"/>
        <w:spacing w:after="0" w:line="253" w:lineRule="auto"/>
        <w:tabs>
          <w:tab w:leader="none" w:pos="8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dividend, stock split, stock combination, recapitalization or other similar transaction during such period.</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40"/>
          </w:cols>
          <w:pgMar w:left="880" w:top="266" w:right="479" w:bottom="1440" w:gutter="0" w:footer="0" w:header="0"/>
        </w:sectPr>
      </w:pPr>
    </w:p>
    <w:bookmarkStart w:id="96" w:name="page97"/>
    <w:bookmarkEnd w:id="96"/>
    <w:p>
      <w:pPr>
        <w:ind w:left="4" w:firstLine="436"/>
        <w:spacing w:after="0" w:line="253" w:lineRule="auto"/>
        <w:tabs>
          <w:tab w:leader="none" w:pos="71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34 shall limit any obligations of the Company, or any rights of the Holder, under Section 4(i) of the Securities Purchase Agreement.</w:t>
      </w:r>
    </w:p>
    <w:p>
      <w:pPr>
        <w:spacing w:after="0" w:line="194" w:lineRule="exact"/>
        <w:rPr>
          <w:rFonts w:ascii="Times New Roman" w:cs="Times New Roman" w:eastAsia="Times New Roman" w:hAnsi="Times New Roman"/>
          <w:sz w:val="18"/>
          <w:szCs w:val="18"/>
          <w:color w:val="auto"/>
        </w:rPr>
      </w:pPr>
    </w:p>
    <w:p>
      <w:pPr>
        <w:jc w:val="both"/>
        <w:ind w:left="4" w:right="40" w:firstLine="436"/>
        <w:spacing w:after="0" w:line="276" w:lineRule="auto"/>
        <w:tabs>
          <w:tab w:leader="none" w:pos="714"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TRADING AND DISCLOSURE RESTRICTIONS</w:t>
      </w:r>
      <w:r>
        <w:rPr>
          <w:rFonts w:ascii="Times New Roman" w:cs="Times New Roman" w:eastAsia="Times New Roman" w:hAnsi="Times New Roman"/>
          <w:sz w:val="17"/>
          <w:szCs w:val="17"/>
          <w:color w:val="auto"/>
        </w:rPr>
        <w:t>. The Company acknowledges and agrees that the Holder is not a fiduciary or agent of the Company and that the Holder shall have no obligation to (a) maintain the confidentiality of any information provided by the Company or</w:t>
      </w:r>
    </w:p>
    <w:p>
      <w:pPr>
        <w:ind w:left="4" w:right="60" w:hanging="4"/>
        <w:spacing w:after="0" w:line="253" w:lineRule="auto"/>
        <w:tabs>
          <w:tab w:leader="none" w:pos="2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Note to be duly executed as of the Issuance Date set out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i w:val="1"/>
          <w:iCs w:val="1"/>
          <w:color w:val="auto"/>
        </w:rPr>
        <w:t>Senior Convertible Note - Signature Page</w:t>
      </w:r>
    </w:p>
    <w:p>
      <w:pPr>
        <w:sectPr>
          <w:pgSz w:w="11900" w:h="16838" w:orient="portrait"/>
          <w:cols w:equalWidth="0" w:num="1">
            <w:col w:w="9579"/>
          </w:cols>
          <w:pgMar w:left="880" w:top="270" w:right="1440" w:bottom="1440" w:gutter="0" w:footer="0" w:header="0"/>
        </w:sectPr>
      </w:pPr>
    </w:p>
    <w:bookmarkStart w:id="98" w:name="page99"/>
    <w:bookmarkEnd w:id="98"/>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03"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Reference is made to the Senior Secured Convertible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issued to the undersigned by Allbirds,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and pursuant to the Note, the undersigned hereby elects to convert the Conversion Amount (as defined in the Note) of the Note indicated below into shares of Class A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as of the date specified below. Capitalized terms not defined herein shall have the meaning as set forth in the Note.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Date of</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-10795</wp:posOffset>
            </wp:positionV>
            <wp:extent cx="60350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79"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Aggregate Principal to be</w:t>
      </w:r>
    </w:p>
    <w:p>
      <w:pPr>
        <w:spacing w:after="0" w:line="27" w:lineRule="exact"/>
        <w:rPr>
          <w:sz w:val="20"/>
          <w:szCs w:val="20"/>
          <w:color w:val="auto"/>
        </w:rPr>
      </w:pPr>
    </w:p>
    <w:p>
      <w:pPr>
        <w:ind w:left="804"/>
        <w:spacing w:after="0"/>
        <w:tabs>
          <w:tab w:leader="none" w:pos="3504" w:val="left"/>
        </w:tabs>
        <w:rPr>
          <w:sz w:val="20"/>
          <w:szCs w:val="20"/>
          <w:color w:val="auto"/>
        </w:rPr>
      </w:pPr>
      <w:r>
        <w:rPr>
          <w:rFonts w:ascii="Times New Roman" w:cs="Times New Roman" w:eastAsia="Times New Roman" w:hAnsi="Times New Roman"/>
          <w:sz w:val="18"/>
          <w:szCs w:val="18"/>
          <w:color w:val="auto"/>
        </w:rPr>
        <w:t>converted:</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5715</wp:posOffset>
            </wp:positionV>
            <wp:extent cx="47574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106"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Aggregate accrued and unpaid</w:t>
      </w:r>
    </w:p>
    <w:p>
      <w:pPr>
        <w:spacing w:after="0" w:line="27"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Interest and accrued and unpaid</w:t>
      </w:r>
    </w:p>
    <w:p>
      <w:pPr>
        <w:spacing w:after="0" w:line="9"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Late Charges with respect to such</w:t>
      </w:r>
    </w:p>
    <w:p>
      <w:pPr>
        <w:spacing w:after="0" w:line="9"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portion of the Aggregate Principal</w:t>
      </w:r>
    </w:p>
    <w:p>
      <w:pPr>
        <w:spacing w:after="0" w:line="9"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and such Aggregate Interest to be</w:t>
      </w:r>
    </w:p>
    <w:p>
      <w:pPr>
        <w:spacing w:after="0" w:line="9" w:lineRule="exact"/>
        <w:rPr>
          <w:sz w:val="20"/>
          <w:szCs w:val="20"/>
          <w:color w:val="auto"/>
        </w:rPr>
      </w:pPr>
    </w:p>
    <w:p>
      <w:pPr>
        <w:ind w:left="804"/>
        <w:spacing w:after="0"/>
        <w:rPr>
          <w:sz w:val="20"/>
          <w:szCs w:val="20"/>
          <w:color w:val="auto"/>
        </w:rPr>
      </w:pPr>
      <w:r>
        <w:rPr>
          <w:rFonts w:ascii="Times New Roman" w:cs="Times New Roman" w:eastAsia="Times New Roman" w:hAnsi="Times New Roman"/>
          <w:sz w:val="18"/>
          <w:szCs w:val="18"/>
          <w:color w:val="auto"/>
        </w:rPr>
        <w:t>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-10795</wp:posOffset>
            </wp:positionV>
            <wp:extent cx="47574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AGGREGATE CONVERSION</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22860</wp:posOffset>
            </wp:positionV>
            <wp:extent cx="47574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5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17145</wp:posOffset>
            </wp:positionV>
            <wp:extent cx="57689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12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Number of shares of Common Stock to be</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5715</wp:posOffset>
            </wp:positionV>
            <wp:extent cx="44919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241" w:lineRule="exact"/>
        <w:rPr>
          <w:sz w:val="20"/>
          <w:szCs w:val="20"/>
          <w:color w:val="auto"/>
        </w:rPr>
      </w:pPr>
    </w:p>
    <w:p>
      <w:pPr>
        <w:ind w:left="4" w:right="140" w:hanging="4"/>
        <w:spacing w:after="0" w:line="282" w:lineRule="auto"/>
        <w:tabs>
          <w:tab w:leader="none" w:pos="211" w:val="left"/>
        </w:tabs>
        <w:numPr>
          <w:ilvl w:val="0"/>
          <w:numId w:val="13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this Conversion Notice is being delivered with respect to an Alternate Conversion, check here if Holder is electing to use the following Alternate Conversion Price:____________</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issue the Common Stock into which the Note is being converted to Holder, or for its benefit, as follows:</w:t>
      </w:r>
    </w:p>
    <w:p>
      <w:pPr>
        <w:spacing w:after="0" w:line="225" w:lineRule="exact"/>
        <w:rPr>
          <w:sz w:val="20"/>
          <w:szCs w:val="20"/>
          <w:color w:val="auto"/>
        </w:rPr>
      </w:pPr>
    </w:p>
    <w:p>
      <w:pPr>
        <w:ind w:left="444" w:right="3040" w:firstLine="1"/>
        <w:spacing w:after="0" w:line="532" w:lineRule="auto"/>
        <w:tabs>
          <w:tab w:leader="none" w:pos="651" w:val="left"/>
        </w:tabs>
        <w:numPr>
          <w:ilvl w:val="0"/>
          <w:numId w:val="1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 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-158750</wp:posOffset>
            </wp:positionV>
            <wp:extent cx="62407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40780" cy="8255"/>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-4445</wp:posOffset>
            </wp:positionV>
            <wp:extent cx="62407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40780" cy="8890"/>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149225</wp:posOffset>
            </wp:positionV>
            <wp:extent cx="62407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ectPr>
          <w:pgSz w:w="11900" w:h="16838" w:orient="portrait"/>
          <w:cols w:equalWidth="0" w:num="1">
            <w:col w:w="10944"/>
          </w:cols>
          <w:pgMar w:left="436" w:top="266" w:right="519" w:bottom="1440" w:gutter="0" w:footer="0" w:header="0"/>
        </w:sectPr>
      </w:pPr>
    </w:p>
    <w:bookmarkStart w:id="99" w:name="page100"/>
    <w:bookmarkEnd w:id="99"/>
    <w:p>
      <w:pPr>
        <w:ind w:left="440"/>
        <w:spacing w:after="0" w:line="207" w:lineRule="exact"/>
        <w:rPr>
          <w:sz w:val="20"/>
          <w:szCs w:val="20"/>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Check here if requesting delivery by Deposit/Withdrawal at Custodian as follows: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0</wp:posOffset>
            </wp:positionV>
            <wp:extent cx="56318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31815"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0</wp:posOffset>
            </wp:positionV>
            <wp:extent cx="56318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31815" cy="8890"/>
                    </a:xfrm>
                    <a:prstGeom prst="rect">
                      <a:avLst/>
                    </a:prstGeom>
                    <a:noFill/>
                  </pic:spPr>
                </pic:pic>
              </a:graphicData>
            </a:graphic>
          </wp:anchor>
        </w:drawing>
      </w:r>
    </w:p>
    <w:p>
      <w:pPr>
        <w:spacing w:after="0" w:line="1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0</wp:posOffset>
            </wp:positionV>
            <wp:extent cx="56318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_____________ 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1216025</wp:posOffset>
            </wp:positionH>
            <wp:positionV relativeFrom="paragraph">
              <wp:posOffset>-7620</wp:posOffset>
            </wp:positionV>
            <wp:extent cx="3429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Tax ID:_____________________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ectPr>
          <w:pgSz w:w="11900" w:h="16838" w:orient="portrait"/>
          <w:cols w:equalWidth="0" w:num="1">
            <w:col w:w="10019"/>
          </w:cols>
          <w:pgMar w:left="440" w:top="229"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_________________ to issue the above indicated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in accordance with the Transfer Agent Instructions dated _____________, 20__ from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to by ________________________.</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00"/>
          </w:cols>
          <w:pgMar w:left="440" w:top="266" w:right="45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91335" cy="659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9133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Nadia,</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(the “Board”) of Allbirds, Inc. (the “Company”) is thrilled to extend this offer of employment for the position of President, Chief Executive Officer and Secretary (“CEO”), reporting to the Company’s Board.</w:t>
      </w:r>
    </w:p>
    <w:p>
      <w:pPr>
        <w:spacing w:after="0" w:line="162"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As CEO, you will have such duties, responsibilities and authority as is customary for persons situated in similar executive capacities and as may from time to time reasonably be assigned to you by the Board. Your principal work location will be as a remote employee, subject to required business travel.</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Subject to any limitations imposed by applicable law, the Board plans to appoint you as a Class I member of the Board. You will be nominated for election as a member of the Board at the Company’s 2028 annual meeting of stockholders, so long as you continue to serve as the CEO through that date. In addition, while you continue to serve as CEO, the Board and/or the Sustainability, Nomination and Governance Committee of the Board will nominate you for reelection to the Board at each subsequent annual meeting at which your term on the Board is scheduled to expire and that occurs while you are CEO, but subject to the requirements of applicable law (including, without limitation, any rules or regulations of any exchange on which the Class A common stock of the Company is then listed). If your position as CEO is terminated for any reason, you automatically will be deemed to have resigned from the Board and all positions that you hold with the Company and its affiliates, unless requested otherwise in writing by the Board. You will cooperate with the Company in documenting such resignation(s) and will promptly complete and return to the Company all documents reasonably specified by the Company for such purpose.</w:t>
      </w:r>
    </w:p>
    <w:p>
      <w:pPr>
        <w:spacing w:after="0" w:line="188"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Your initial base salary will be $700,000 per year, less applicable payroll deductions and withholdings, paid on the Company’s normal payroll schedule. The Company reserves the right to modify your base salary with advance notice in a manner comparable to other Company officers. Your annual base salary will be subject to review and adjustment based upon the Company’s normal performance review practices. As a salaried exempt employee, you will not be entitled to overtime pay and your salary is intended to cover all hours worked including any hours worked in excess of 8 in a day, or 40 in a workweek, or overtime as otherwise mandated by applicable federal or state law.</w:t>
      </w:r>
    </w:p>
    <w:p>
      <w:pPr>
        <w:spacing w:after="0" w:line="183"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We are pleased to inform you that you will be eligible for a performance-driven bonus with a target opportunity equal to 100% of base salary (pro-rated based on start date) upon the submission and approval of a strategic business plan by the Board no later than October 31, 2026. This bonus opportunity is payable in cash upon ratification of achievement by the Management, Compensation and Leadership Committee of the Board (the “Compensation Committee”). Starting in January 2027 you will be eligible for an Allbirds performance-driven bonus plan with a target opportunity to be set by the Management Committee. Any bonus is discretionary and shall be decided by the Company in its sole discretion. Target incentives do not constitute a promise on the part of the Company for payment of a bonus. To qualify for bonus payment, you must remain employed with the Company on the date on which the bonus is paid.</w:t>
      </w:r>
    </w:p>
    <w:p>
      <w:pPr>
        <w:sectPr>
          <w:pgSz w:w="11900" w:h="16838" w:orient="portrait"/>
          <w:cols w:equalWidth="0" w:num="1">
            <w:col w:w="11020"/>
          </w:cols>
          <w:pgMar w:left="440" w:top="117" w:right="439" w:bottom="1440" w:gutter="0" w:footer="0" w:header="0"/>
        </w:sectPr>
      </w:pPr>
    </w:p>
    <w:bookmarkStart w:id="102" w:name="page103"/>
    <w:bookmarkEnd w:id="102"/>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your employment, you will be eligible for employee benefits consistent with the Company’s practices and in accordance with the terms of the applicable benefit plans as they currently exist and subject to any future modifications in the Company’s discretion. A full description of the Company’s current benefits is available upon request. We believe that rest and relaxation is important to a productive workplace, and hence, offer flexible paid time off, subject to applicable federal, state, and local laws. You must request flexible paid time off in accordance with the policies outlined in the Employee Handbook.</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are pleased to inform you that we will recommend to the Board or a committee of the Board that you be granted an award of 1,532,379 restricted stock units (the “RSUs”) (the “RSU Award”), which RSU Award is intended to qualify as an “inducement grant” in accordance with Nasdaq Listing Rule 5635(c)(4). The RSU Award will be granted under and subject to the terms and conditions of the applicable RSU Award agreement and the notice of RSU Award grant, all of which will be provided to you as soon as practicable after the grant date and which you will be required to accept in accordance with Allbirds’ acceptance procedures.</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Each RSU represents a contingent right to receive one share of our Class A common stock upon vesting. The RSU Award will be governed by the terms and conditions your grant agreement, and will include an immediate vest of 255,397 RSUs with the remaining 1,276,982 RSUs vesting quarterly over a four year schedule under which 1/16th of your total RSUs will vest three months after the vesting commencement date, and 1/16th of the total RSUs will vest at the end of each quarter thereafter, until either the grant is fully vested or your Continuous Service (as defined in the grant agreement) terminates, whichever occurs first.</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foregoing, you will be eligible to continue to participate in Allbirds’ Severance and Change in Control Plan, which provides for, among other things, twelve (12) months of base pay and benefits plus equity acceleration in the event of termination related to an applicable “Change in Control” (as such term is defined in the Severance and Change in Control Plan). You will also be eligible for consideration in the Company’s annual equity refresh program, which will target an aggregate refresh grant value determined annually by the Board; provided, however, that any annual refresh grant (including the specific form of such grant or grants) shall be at the Company’s sole discretion and dependent on both company and individual performance.</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As a Company employee, you will be expected to abide by Company rules and policies as they currently exist and subject to any future modifications in the Company’s discretion including, without limitation, maintaining as confidential proprietary information of the Company. The requirement that you maintain as confidential proprietary information of the Company shall extend beyond separation of your employment. In your role, you must also comply with the Employee Confidential Information and Inventions Assignment Agreement to be executed with the Company.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03" w:name="page104"/>
    <w:bookmarkEnd w:id="103"/>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 employment is at-will. You may terminate your employment with the Company at any time and for any reason whatsoever simply by notifying the Company. Likewise, the Company may terminate your employment at any time, with or without cause or advance notice. Your employment at-will status can only be modified in a written agreement signed by an authorized officer of the Company.</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a condition of employment, you must sign and comply with the Mutual Dispute Resolution Agreement, which will be provided under separate cover. This letter is merely a summary of the principal terms of our employment offer and is not a contract of employment for any definite period of time. This letter supersedes any prior or subsequent oral or written representations regarding the terms of potential employment with the Company, including but not limited to the kind, character, or existence of work, the length of time such work would last, and your compensation for the work By signing below, you acknowledge that you are not relying on any representations other than those set forth in this letter.</w:t>
      </w:r>
    </w:p>
    <w:p>
      <w:pPr>
        <w:spacing w:after="0" w:line="18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Please sign and date the letter, and return them to me if you wish to accept employment at the Company under the terms described above. If you accept our offer, we would like you to start on June 18,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Lily Yan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3145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Lily Yan Hughes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Chairperson of the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Understood and Accepted:</w:t>
      </w:r>
    </w:p>
    <w:p>
      <w:pPr>
        <w:spacing w:after="0" w:line="225" w:lineRule="exact"/>
        <w:rPr>
          <w:sz w:val="20"/>
          <w:szCs w:val="20"/>
          <w:color w:val="auto"/>
        </w:rPr>
      </w:pPr>
    </w:p>
    <w:p>
      <w:pPr>
        <w:spacing w:after="0"/>
        <w:tabs>
          <w:tab w:leader="none" w:pos="6920" w:val="left"/>
        </w:tabs>
        <w:rPr>
          <w:sz w:val="20"/>
          <w:szCs w:val="20"/>
          <w:color w:val="auto"/>
        </w:rPr>
      </w:pPr>
      <w:r>
        <w:rPr>
          <w:rFonts w:ascii="Times New Roman" w:cs="Times New Roman" w:eastAsia="Times New Roman" w:hAnsi="Times New Roman"/>
          <w:sz w:val="18"/>
          <w:szCs w:val="18"/>
          <w:color w:val="auto"/>
        </w:rPr>
        <w:t>/s/ Nadia Carlsten</w:t>
      </w:r>
      <w:r>
        <w:rPr>
          <w:sz w:val="20"/>
          <w:szCs w:val="20"/>
          <w:color w:val="auto"/>
        </w:rPr>
        <w:tab/>
      </w:r>
      <w:r>
        <w:rPr>
          <w:rFonts w:ascii="Times New Roman" w:cs="Times New Roman" w:eastAsia="Times New Roman" w:hAnsi="Times New Roman"/>
          <w:sz w:val="17"/>
          <w:szCs w:val="17"/>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3145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Nadia Carlsten</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Smartbird Appoints New CEO to Advance AI Infrastructure Strategy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Nadia Carlsten, AI and advanced computing industry leader, appointed president,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CEO and board member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Director Lily Yan Hughes appointed as board chair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Allbirds, Inc. name changed to Smartbird, Inc.</w:t>
      </w:r>
    </w:p>
    <w:p>
      <w:pPr>
        <w:spacing w:after="0" w:line="22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FRANCISCO – June 17, 2026 (GlobeNewswire) – </w:t>
      </w:r>
      <w:r>
        <w:rPr>
          <w:rFonts w:ascii="Times New Roman" w:cs="Times New Roman" w:eastAsia="Times New Roman" w:hAnsi="Times New Roman"/>
          <w:sz w:val="18"/>
          <w:szCs w:val="18"/>
          <w:color w:val="auto"/>
        </w:rPr>
        <w:t>Smartbird, Inc. (NASDAQ: BIRD), an AI infrastructure provider, today announced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of Nadia Carlsten as president and chief executive officer. Carlsten has also joined Smartbird’s board of directors.</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completed its previously announced definitive agreement to sell the Allbirds brand and footwear assets. With the transition to Smartbird now completed, the company also strengthened its balance sheet by increasing the size of its convertible financing facility from $50 million to $100 million. The expanded capital base provides Smartbird with additional resources to execute its AI infrastructure strategy.</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visionary and builder, Carlsten brings decades of deep technical expertise in AI compute infrastructure combined with commercial execution across platform scaling, go-to-market, partnerships and capital strategy. She has served as a trusted partner to boards and investors, with a strong track record of building high-performing teams, stewarding capital and generating strong returns on investment.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serving as CEO of DCAI, an AI company delivering large-scale GPU compute infrastructure and enterprise AI, Carlsten launched a sovereign AI supercomputer in partnership with NVIDIA. As vice president of product at Google spin-off SandboxAQ, Carlsten led the product portfolio across AI, security and hardware platforms. She has also done extensive work on advanced computing platforms, including launching Amazon’s quantum computing service during her tenure at Amazon Web Services.</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Carlsten actively contributes to global technology discourse, advising on strategy, investment decisions and scaling of AI and digital platforms. As a member of the World Economic Forum’s Global Future Council on Next Generation Computing, Carlsten advises on the strategic implications of advanced computing and AI infrastructure.</w:t>
      </w:r>
    </w:p>
    <w:p>
      <w:pPr>
        <w:sectPr>
          <w:pgSz w:w="11900" w:h="16838" w:orient="portrait"/>
          <w:cols w:equalWidth="0" w:num="1">
            <w:col w:w="11020"/>
          </w:cols>
          <w:pgMar w:left="440" w:top="117" w:right="439" w:bottom="1440" w:gutter="0" w:footer="0" w:header="0"/>
        </w:sectPr>
      </w:pPr>
    </w:p>
    <w:bookmarkStart w:id="105" w:name="page106"/>
    <w:bookmarkEnd w:id="105"/>
    <w:p>
      <w:pPr>
        <w:ind w:right="6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Carlsten holds bachelor degrees in chemistry and physics from the University of Virginia, and a doctorate in engineering from the University of California, Berkeley.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Carlsten replaces Joe Vernachio, who is resigning from the company and the board of directors. Annie Mitchell will continue to serve as chief financial officer, a position she has held for the past three years. Lily Yan Hughes, who has served as an independent director of the company since October 2025, has been appointed board chair. Hughes has extensive technology experience and a 30-year track record of operational excellence across corporate governance, capital markets and corporate finance.</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thrilled to usher in this new era of the company with Nadia at the helm. Her groundbreaking work and visionary mindset will be instrumental in establishing a foothold in the market and building a scalable long-term solution for enterprise customers,” said Hughes. “The board selected Nadia because of the breadth of her experience and demonstrated success delivering breakthrough ideas and initiatives at scale. The pairing of her vision and expertise with Annie’s continued financial leadership make us confident in the trajectory of the business and our ability to build long-term shareholder value.”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rise of AI development and adoption has created unprecedented structural demand for specialized, high-performance compute. The AI infrastructure market is entering a new phase as enterprises move from experimentation to production-scale deployment, creating demand for dedicated infrastructure that is more flexible and cost-efficient than traditional hyperscale cloud offerings. Smartbird delivers dedicated AI infrastructure as a managed service, providing the performance, control, and scalability of ownership without the capital investment and operational complexity. The company is in active discussions with prospective customers across its target verticals and is currently designing its first cluster deployments.</w:t>
      </w:r>
    </w:p>
    <w:p>
      <w:pPr>
        <w:spacing w:after="0" w:line="18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“Smartbird is entering the market at a pivotal moment in the evolution of AI infrastructure,” said Dr. Carlsten, CEO of Smartbird. “AI is rapidly becoming mission-critical for organizations across every industry, yet many organizations lack a practical path to deploy and operate the dedicated infrastructure these workloads require.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is a clear opportunity to meet the growing need for enterprise-grade AI infrastructure that delivers control and performance without the capital and operational burden of hardware ownership. With a differentiated strategy, significant capital, and the opportunity to build an exceptional team, we are uniquely positioned to capitalize on one of the most significant infrastructure opportunities of the next decade.”</w:t>
      </w:r>
    </w:p>
    <w:p>
      <w:pPr>
        <w:sectPr>
          <w:pgSz w:w="11900" w:h="16838" w:orient="portrait"/>
          <w:cols w:equalWidth="0" w:num="1">
            <w:col w:w="11000"/>
          </w:cols>
          <w:pgMar w:left="440" w:top="270"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Smartbird, Inc.</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Smartbird delivers dedicated AI infrastructure as a service, giving organizations the performance, control, and security of a private AI cluster without requiring them to finance, operate, or maintain the underlying infrastructure. Smartbird manages the entire lifecycle, from procurement and deployment to operations and hardware refreshes, so customers can focus on AI workloads, not AI infrastructure.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Information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Effective today, Allbirds, Inc. has changed its name to Smartbird, Inc. The company’s Class A common stock listed on the Nasdaq Global Select Market will continue to trade under the ticker symbol “BIRD” and its CUSIP number remains unchanged.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Grant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has approved, as a material inducement to Dr. Carlsten entering into employment with the company, a restricted stock unit award (“RSU Award”) that is intended to qualify as an “inducement grant” in accordance with Nasdaq Listing Rule 5635(c)(4). The RSU Award is comprised of 1,532,379 RSUs converting into an equal number of shares of the Class A common stock, with 255,397 shares vesting immediately and the remaining shares vesting in 16 equal quarterly installments.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These statements are based on management’s current beliefs, assumptions, and information, and include statements other than historical facts—such as statements regarding future financial performance, profitability, cost savings, business strategy, and objectives of management. Forward-looking statements can often be identified by words such as “anticipate,” “believe,” “estimate,” “expect,” “intend,” “may,” “plan,” “project,” “target,” “will,” or similar expressions. Forward-looking statements are subject to risks and uncertainties that could cause actual results to differ materially from those expressed or implied, including: our ability to execute our new business strategy and achieve financial targets; future results of operations, financial condition, business strategy and plans; unfavorable economic conditions; and our ability to obtain additional capital. A further discussion of these and other factors that could cause financial results, performance, and achievements to differ materially from any results, performance, or achievements anticipated, expressed, or implied by these forward-looking statements is included in the filings we make with the SEC, including our most recent annual report on Form 10-K and quarterly report on Form 10-Q and other reports we may file with the SEC from time to time. These forward-looking statements speak only as of the date of this press release, and we undertake no obligation to update them except as required by law. We may not actually achieve the plans, intentions or expectations disclosed in or expressed by, and you should not place undue reliance on our forward-looking statements.</w:t>
      </w:r>
    </w:p>
    <w:p>
      <w:pPr>
        <w:sectPr>
          <w:pgSz w:w="11900" w:h="16838" w:orient="portrait"/>
          <w:cols w:equalWidth="0" w:num="1">
            <w:col w:w="11000"/>
          </w:cols>
          <w:pgMar w:left="440" w:top="266"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ir@smartbird.ai</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Press@smartbird.ai</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1."/>
      <w:numFmt w:val="decimal"/>
      <w:start w:val="1"/>
    </w:lvl>
  </w:abstractNum>
  <w:abstractNum w:abstractNumId="3">
    <w:nsid w:val="799D0247"/>
    <w:multiLevelType w:val="hybridMultilevel"/>
    <w:lvl w:ilvl="0">
      <w:lvlJc w:val="left"/>
      <w:lvlText w:val="%1."/>
      <w:numFmt w:val="decimal"/>
      <w:start w:val="4"/>
    </w:lvl>
  </w:abstractNum>
  <w:abstractNum w:abstractNumId="4">
    <w:nsid w:val="6B94764"/>
    <w:multiLevelType w:val="hybridMultilevel"/>
    <w:lvl w:ilvl="0">
      <w:lvlJc w:val="left"/>
      <w:lvlText w:val="%1."/>
      <w:numFmt w:val="decimal"/>
      <w:start w:val="5"/>
    </w:lvl>
  </w:abstractNum>
  <w:abstractNum w:abstractNumId="5">
    <w:nsid w:val="42C296BD"/>
    <w:multiLevelType w:val="hybridMultilevel"/>
    <w:lvl w:ilvl="0">
      <w:lvlJc w:val="left"/>
      <w:lvlText w:val="%1."/>
      <w:numFmt w:val="upperLetter"/>
      <w:start w:val="2"/>
    </w:lvl>
  </w:abstractNum>
  <w:abstractNum w:abstractNumId="6">
    <w:nsid w:val="168E121F"/>
    <w:multiLevelType w:val="hybridMultilevel"/>
    <w:lvl w:ilvl="0">
      <w:lvlJc w:val="left"/>
      <w:lvlText w:val="(%1)"/>
      <w:numFmt w:val="lowerLetter"/>
      <w:start w:val="1"/>
    </w:lvl>
  </w:abstractNum>
  <w:abstractNum w:abstractNumId="7">
    <w:nsid w:val="1EBA5D2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8">
    <w:nsid w:val="661E3F1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9">
    <w:nsid w:val="5DC79EA8"/>
    <w:multiLevelType w:val="hybridMultilevel"/>
    <w:lvl w:ilvl="0">
      <w:lvlJc w:val="left"/>
      <w:lvlText w:val="(%1)"/>
      <w:numFmt w:val="lowerRoman"/>
      <w:start w:val="2"/>
    </w:lvl>
  </w:abstractNum>
  <w:abstractNum w:abstractNumId="10">
    <w:nsid w:val="540A471C"/>
    <w:multiLevelType w:val="hybridMultilevel"/>
    <w:lvl w:ilvl="0">
      <w:lvlJc w:val="left"/>
      <w:lvlText w:val="(%1)"/>
      <w:numFmt w:val="lowerLetter"/>
      <w:start w:val="3"/>
    </w:lvl>
  </w:abstractNum>
  <w:abstractNum w:abstractNumId="11">
    <w:nsid w:val="7BD3EE7B"/>
    <w:multiLevelType w:val="hybridMultilevel"/>
    <w:lvl w:ilvl="0">
      <w:lvlJc w:val="left"/>
      <w:lvlText w:val="(%1)"/>
      <w:numFmt w:val="lowerLetter"/>
      <w:start w:val="5"/>
    </w:lvl>
  </w:abstractNum>
  <w:abstractNum w:abstractNumId="12">
    <w:nsid w:val="51D9C564"/>
    <w:multiLevelType w:val="hybridMultilevel"/>
    <w:lvl w:ilvl="0">
      <w:lvlJc w:val="left"/>
      <w:lvlText w:val="(%1)"/>
      <w:numFmt w:val="lowerLetter"/>
      <w:start w:val="7"/>
    </w:lvl>
  </w:abstractNum>
  <w:abstractNum w:abstractNumId="13">
    <w:nsid w:val="613EFDC5"/>
    <w:multiLevelType w:val="hybridMultilevel"/>
    <w:lvl w:ilvl="0">
      <w:lvlJc w:val="left"/>
      <w:lvlText w:val="(%1)"/>
      <w:numFmt w:val="lowerRoman"/>
      <w:start w:val="1"/>
    </w:lvl>
  </w:abstractNum>
  <w:abstractNum w:abstractNumId="14">
    <w:nsid w:val="BF72B14"/>
    <w:multiLevelType w:val="hybridMultilevel"/>
    <w:lvl w:ilvl="0">
      <w:lvlJc w:val="left"/>
      <w:lvlText w:val="(%1)"/>
      <w:numFmt w:val="lowerRoman"/>
      <w:start w:val="2"/>
    </w:lvl>
    <w:lvl w:ilvl="1">
      <w:lvlJc w:val="left"/>
      <w:lvlText w:val="(%2)"/>
      <w:numFmt w:val="upperLetter"/>
      <w:start w:val="1"/>
    </w:lvl>
  </w:abstractNum>
  <w:abstractNum w:abstractNumId="15">
    <w:nsid w:val="11447B73"/>
    <w:multiLevelType w:val="hybridMultilevel"/>
    <w:lvl w:ilvl="0">
      <w:lvlJc w:val="left"/>
      <w:lvlText w:val="(%1)"/>
      <w:numFmt w:val="lowerLetter"/>
      <w:start w:val="1"/>
    </w:lvl>
  </w:abstractNum>
  <w:abstractNum w:abstractNumId="16">
    <w:nsid w:val="42963E5A"/>
    <w:multiLevelType w:val="hybridMultilevel"/>
    <w:lvl w:ilvl="0">
      <w:lvlJc w:val="left"/>
      <w:lvlText w:val="(%1)"/>
      <w:numFmt w:val="lowerLetter"/>
      <w:start w:val="2"/>
    </w:lvl>
  </w:abstractNum>
  <w:abstractNum w:abstractNumId="17">
    <w:nsid w:val="A0382C5"/>
    <w:multiLevelType w:val="hybridMultilevel"/>
    <w:lvl w:ilvl="0">
      <w:lvlJc w:val="left"/>
      <w:lvlText w:val="(%1)"/>
      <w:numFmt w:val="lowerLetter"/>
      <w:start w:val="2"/>
    </w:lvl>
  </w:abstractNum>
  <w:abstractNum w:abstractNumId="18">
    <w:nsid w:val="8F2B15E"/>
    <w:multiLevelType w:val="hybridMultilevel"/>
    <w:lvl w:ilvl="0">
      <w:lvlJc w:val="left"/>
      <w:lvlText w:val="(%1)"/>
      <w:numFmt w:val="lowerLetter"/>
      <w:start w:val="1"/>
    </w:lvl>
  </w:abstractNum>
  <w:abstractNum w:abstractNumId="19">
    <w:nsid w:val="1A32234B"/>
    <w:multiLevelType w:val="hybridMultilevel"/>
    <w:lvl w:ilvl="0">
      <w:lvlJc w:val="left"/>
      <w:lvlText w:val="(%1)"/>
      <w:numFmt w:val="lowerLetter"/>
      <w:start w:val="1"/>
    </w:lvl>
  </w:abstractNum>
  <w:abstractNum w:abstractNumId="20">
    <w:nsid w:val="3B0FD379"/>
    <w:multiLevelType w:val="hybridMultilevel"/>
    <w:lvl w:ilvl="0">
      <w:lvlJc w:val="left"/>
      <w:lvlText w:val="(%1)"/>
      <w:numFmt w:val="lowerLetter"/>
      <w:start w:val="3"/>
    </w:lvl>
  </w:abstractNum>
  <w:abstractNum w:abstractNumId="21">
    <w:nsid w:val="68EB2F63"/>
    <w:multiLevelType w:val="hybridMultilevel"/>
    <w:lvl w:ilvl="0">
      <w:lvlJc w:val="left"/>
      <w:lvlText w:val="(%1)"/>
      <w:numFmt w:val="lowerLetter"/>
      <w:start w:val="1"/>
    </w:lvl>
  </w:abstractNum>
  <w:abstractNum w:abstractNumId="22">
    <w:nsid w:val="4962813B"/>
    <w:multiLevelType w:val="hybridMultilevel"/>
    <w:lvl w:ilvl="0">
      <w:lvlJc w:val="left"/>
      <w:lvlText w:val="(%1)"/>
      <w:numFmt w:val="lowerLetter"/>
      <w:start w:val="1"/>
    </w:lvl>
  </w:abstractNum>
  <w:abstractNum w:abstractNumId="23">
    <w:nsid w:val="60B6DF70"/>
    <w:multiLevelType w:val="hybridMultilevel"/>
    <w:lvl w:ilvl="0">
      <w:lvlJc w:val="left"/>
      <w:lvlText w:val="(%1)"/>
      <w:numFmt w:val="lowerLetter"/>
      <w:start w:val="1"/>
    </w:lvl>
  </w:abstractNum>
  <w:abstractNum w:abstractNumId="24">
    <w:nsid w:val="6A5EE64"/>
    <w:multiLevelType w:val="hybridMultilevel"/>
    <w:lvl w:ilvl="0">
      <w:lvlJc w:val="left"/>
      <w:lvlText w:val="%1"/>
      <w:numFmt w:val="lowerLetter"/>
      <w:start w:val="1"/>
    </w:lvl>
    <w:lvl w:ilvl="1">
      <w:lvlJc w:val="left"/>
      <w:lvlText w:val="(%2)"/>
      <w:numFmt w:val="lowerLetter"/>
      <w:start w:val="1"/>
    </w:lvl>
  </w:abstractNum>
  <w:abstractNum w:abstractNumId="25">
    <w:nsid w:val="14330624"/>
    <w:multiLevelType w:val="hybridMultilevel"/>
    <w:lvl w:ilvl="0">
      <w:lvlJc w:val="left"/>
      <w:lvlText w:val="(%1)"/>
      <w:numFmt w:val="lowerLetter"/>
      <w:start w:val="9"/>
    </w:lvl>
    <w:lvl w:ilvl="1">
      <w:lvlJc w:val="left"/>
      <w:lvlText w:val="(%2)"/>
      <w:numFmt w:val="lowerLetter"/>
      <w:start w:val="2"/>
    </w:lvl>
  </w:abstractNum>
  <w:abstractNum w:abstractNumId="26">
    <w:nsid w:val="7FFFCA11"/>
    <w:multiLevelType w:val="hybridMultilevel"/>
    <w:lvl w:ilvl="0">
      <w:lvlJc w:val="left"/>
      <w:lvlText w:val="(%1)"/>
      <w:numFmt w:val="lowerLetter"/>
      <w:start w:val="1"/>
    </w:lvl>
  </w:abstractNum>
  <w:abstractNum w:abstractNumId="27">
    <w:nsid w:val="1A27709E"/>
    <w:multiLevelType w:val="hybridMultilevel"/>
    <w:lvl w:ilvl="0">
      <w:lvlJc w:val="left"/>
      <w:lvlText w:val="(%1)"/>
      <w:numFmt w:val="lowerLetter"/>
      <w:start w:val="2"/>
    </w:lvl>
  </w:abstractNum>
  <w:abstractNum w:abstractNumId="28">
    <w:nsid w:val="71EA1109"/>
    <w:multiLevelType w:val="hybridMultilevel"/>
    <w:lvl w:ilvl="0">
      <w:lvlJc w:val="left"/>
      <w:lvlText w:val="(%1)"/>
      <w:numFmt w:val="lowerLetter"/>
      <w:start w:val="7"/>
    </w:lvl>
  </w:abstractNum>
  <w:abstractNum w:abstractNumId="29">
    <w:nsid w:val="100F59DC"/>
    <w:multiLevelType w:val="hybridMultilevel"/>
    <w:lvl w:ilvl="0">
      <w:lvlJc w:val="left"/>
      <w:lvlText w:val="(%1)"/>
      <w:numFmt w:val="lowerLetter"/>
      <w:start w:val="1"/>
    </w:lvl>
  </w:abstractNum>
  <w:abstractNum w:abstractNumId="30">
    <w:nsid w:val="7FB7E0AA"/>
    <w:multiLevelType w:val="hybridMultilevel"/>
    <w:lvl w:ilvl="0">
      <w:lvlJc w:val="left"/>
      <w:lvlText w:val="(%1)"/>
      <w:numFmt w:val="lowerLetter"/>
      <w:start w:val="2"/>
    </w:lvl>
  </w:abstractNum>
  <w:abstractNum w:abstractNumId="31">
    <w:nsid w:val="6EB5BD4"/>
    <w:multiLevelType w:val="hybridMultilevel"/>
    <w:lvl w:ilvl="0">
      <w:lvlJc w:val="left"/>
      <w:lvlText w:val="(%1)"/>
      <w:numFmt w:val="lowerLetter"/>
      <w:start w:val="1"/>
    </w:lvl>
  </w:abstractNum>
  <w:abstractNum w:abstractNumId="32">
    <w:nsid w:val="6F6DD9AC"/>
    <w:multiLevelType w:val="hybridMultilevel"/>
    <w:lvl w:ilvl="0">
      <w:lvlJc w:val="left"/>
      <w:lvlText w:val="%1"/>
      <w:numFmt w:val="lowerLetter"/>
      <w:start w:val="1"/>
    </w:lvl>
    <w:lvl w:ilvl="1">
      <w:lvlJc w:val="left"/>
      <w:lvlText w:val="(%2)"/>
      <w:numFmt w:val="lowerLetter"/>
      <w:start w:val="1"/>
    </w:lvl>
  </w:abstractNum>
  <w:abstractNum w:abstractNumId="33">
    <w:nsid w:val="94211F2"/>
    <w:multiLevelType w:val="hybridMultilevel"/>
    <w:lvl w:ilvl="0">
      <w:lvlJc w:val="left"/>
      <w:lvlText w:val="(%1)"/>
      <w:numFmt w:val="lowerLetter"/>
      <w:start w:val="9"/>
    </w:lvl>
    <w:lvl w:ilvl="1">
      <w:lvlJc w:val="left"/>
      <w:lvlText w:val="(%2)"/>
      <w:numFmt w:val="lowerLetter"/>
      <w:start w:val="2"/>
    </w:lvl>
  </w:abstractNum>
  <w:abstractNum w:abstractNumId="34">
    <w:nsid w:val="885E1B"/>
    <w:multiLevelType w:val="hybridMultilevel"/>
    <w:lvl w:ilvl="0">
      <w:lvlJc w:val="left"/>
      <w:lvlText w:val="(%1)"/>
      <w:numFmt w:val="lowerLetter"/>
      <w:start w:val="4"/>
    </w:lvl>
  </w:abstractNum>
  <w:abstractNum w:abstractNumId="35">
    <w:nsid w:val="76272110"/>
    <w:multiLevelType w:val="hybridMultilevel"/>
    <w:lvl w:ilvl="0">
      <w:lvlJc w:val="left"/>
      <w:lvlText w:val="(%1)"/>
      <w:numFmt w:val="lowerLetter"/>
      <w:start w:val="6"/>
    </w:lvl>
    <w:lvl w:ilvl="1">
      <w:lvlJc w:val="left"/>
      <w:lvlText w:val="(%2)"/>
      <w:numFmt w:val="lowerRoman"/>
      <w:start w:val="1"/>
    </w:lvl>
  </w:abstractNum>
  <w:abstractNum w:abstractNumId="36">
    <w:nsid w:val="4C04A8AF"/>
    <w:multiLevelType w:val="hybridMultilevel"/>
    <w:lvl w:ilvl="0">
      <w:lvlJc w:val="left"/>
      <w:lvlText w:val="(%1)"/>
      <w:numFmt w:val="lowerRoman"/>
      <w:start w:val="5"/>
    </w:lvl>
  </w:abstractNum>
  <w:abstractNum w:abstractNumId="37">
    <w:nsid w:val="1716703B"/>
    <w:multiLevelType w:val="hybridMultilevel"/>
    <w:lvl w:ilvl="0">
      <w:lvlJc w:val="left"/>
      <w:lvlText w:val="(%1)"/>
      <w:numFmt w:val="lowerLetter"/>
      <w:start w:val="1"/>
    </w:lvl>
  </w:abstractNum>
  <w:abstractNum w:abstractNumId="38">
    <w:nsid w:val="14E17E33"/>
    <w:multiLevelType w:val="hybridMultilevel"/>
    <w:lvl w:ilvl="0">
      <w:lvlJc w:val="left"/>
      <w:lvlText w:val="(%1)"/>
      <w:numFmt w:val="lowerLetter"/>
      <w:start w:val="7"/>
    </w:lvl>
  </w:abstractNum>
  <w:abstractNum w:abstractNumId="39">
    <w:nsid w:val="3222E7CD"/>
    <w:multiLevelType w:val="hybridMultilevel"/>
    <w:lvl w:ilvl="0">
      <w:lvlJc w:val="left"/>
      <w:lvlText w:val="(%1)"/>
      <w:numFmt w:val="lowerLetter"/>
      <w:start w:val="1"/>
    </w:lvl>
  </w:abstractNum>
  <w:abstractNum w:abstractNumId="40">
    <w:nsid w:val="74DE0EE3"/>
    <w:multiLevelType w:val="hybridMultilevel"/>
    <w:lvl w:ilvl="0">
      <w:lvlJc w:val="left"/>
      <w:lvlText w:val="(%1)"/>
      <w:numFmt w:val="lowerLetter"/>
      <w:start w:val="5"/>
    </w:lvl>
  </w:abstractNum>
  <w:abstractNum w:abstractNumId="41">
    <w:nsid w:val="68EBC550"/>
    <w:multiLevelType w:val="hybridMultilevel"/>
    <w:lvl w:ilvl="0">
      <w:lvlJc w:val="left"/>
      <w:lvlText w:val="%1."/>
      <w:numFmt w:val="decimal"/>
      <w:start w:val="1"/>
    </w:lvl>
    <w:lvl w:ilvl="1">
      <w:lvlJc w:val="left"/>
      <w:lvlText w:val="(%2)"/>
      <w:numFmt w:val="lowerLetter"/>
      <w:start w:val="1"/>
    </w:lvl>
  </w:abstractNum>
  <w:abstractNum w:abstractNumId="42">
    <w:nsid w:val="2DF6D648"/>
    <w:multiLevelType w:val="hybridMultilevel"/>
    <w:lvl w:ilvl="0">
      <w:lvlJc w:val="left"/>
      <w:lvlText w:val="1"/>
      <w:numFmt w:val="bullet"/>
      <w:start w:val="1"/>
    </w:lvl>
  </w:abstractNum>
  <w:abstractNum w:abstractNumId="43">
    <w:nsid w:val="46B7D447"/>
    <w:multiLevelType w:val="hybridMultilevel"/>
    <w:lvl w:ilvl="0">
      <w:lvlJc w:val="left"/>
      <w:lvlText w:val=" "/>
      <w:numFmt w:val="bullet"/>
      <w:start w:val="1"/>
    </w:lvl>
  </w:abstractNum>
  <w:abstractNum w:abstractNumId="44">
    <w:nsid w:val="4A2AC315"/>
    <w:multiLevelType w:val="hybridMultilevel"/>
    <w:lvl w:ilvl="0">
      <w:lvlJc w:val="left"/>
      <w:lvlText w:val="(%1)"/>
      <w:numFmt w:val="lowerRoman"/>
      <w:start w:val="2"/>
    </w:lvl>
  </w:abstractNum>
  <w:abstractNum w:abstractNumId="45">
    <w:nsid w:val="39EE015C"/>
    <w:multiLevelType w:val="hybridMultilevel"/>
    <w:lvl w:ilvl="0">
      <w:lvlJc w:val="left"/>
      <w:lvlText w:val="(%1)"/>
      <w:numFmt w:val="lowerLetter"/>
      <w:start w:val="3"/>
    </w:lvl>
  </w:abstractNum>
  <w:abstractNum w:abstractNumId="46">
    <w:nsid w:val="57FC4FBB"/>
    <w:multiLevelType w:val="hybridMultilevel"/>
    <w:lvl w:ilvl="0">
      <w:lvlJc w:val="left"/>
      <w:lvlText w:val="%1."/>
      <w:numFmt w:val="decimal"/>
      <w:start w:val="3"/>
    </w:lvl>
    <w:lvl w:ilvl="1">
      <w:lvlJc w:val="left"/>
      <w:lvlText w:val="(%2)"/>
      <w:numFmt w:val="lowerLetter"/>
      <w:start w:val="1"/>
    </w:lvl>
  </w:abstractNum>
  <w:abstractNum w:abstractNumId="47">
    <w:nsid w:val="CC1016F"/>
    <w:multiLevelType w:val="hybridMultilevel"/>
    <w:lvl w:ilvl="0">
      <w:lvlJc w:val="left"/>
      <w:lvlText w:val="(%1)"/>
      <w:numFmt w:val="lowerRoman"/>
      <w:start w:val="1"/>
    </w:lvl>
  </w:abstractNum>
  <w:abstractNum w:abstractNumId="48">
    <w:nsid w:val="43F18422"/>
    <w:multiLevelType w:val="hybridMultilevel"/>
    <w:lvl w:ilvl="0">
      <w:lvlJc w:val="left"/>
      <w:lvlText w:val="(%1)"/>
      <w:numFmt w:val="lowerLetter"/>
      <w:start w:val="3"/>
    </w:lvl>
    <w:lvl w:ilvl="1">
      <w:lvlJc w:val="left"/>
      <w:lvlText w:val="(%2)"/>
      <w:numFmt w:val="lowerLetter"/>
      <w:start w:val="9"/>
    </w:lvl>
  </w:abstractNum>
  <w:abstractNum w:abstractNumId="49">
    <w:nsid w:val="60EF0119"/>
    <w:multiLevelType w:val="hybridMultilevel"/>
    <w:lvl w:ilvl="0">
      <w:lvlJc w:val="left"/>
      <w:lvlText w:val="2"/>
      <w:numFmt w:val="bullet"/>
      <w:start w:val="1"/>
    </w:lvl>
  </w:abstractNum>
  <w:abstractNum w:abstractNumId="50">
    <w:nsid w:val="26F324BA"/>
    <w:multiLevelType w:val="hybridMultilevel"/>
    <w:lvl w:ilvl="0">
      <w:lvlJc w:val="left"/>
      <w:lvlText w:val=" "/>
      <w:numFmt w:val="bullet"/>
      <w:start w:val="1"/>
    </w:lvl>
  </w:abstractNum>
  <w:abstractNum w:abstractNumId="51">
    <w:nsid w:val="7F01579B"/>
    <w:multiLevelType w:val="hybridMultilevel"/>
    <w:lvl w:ilvl="0">
      <w:lvlJc w:val="left"/>
      <w:lvlText w:val="(%1)"/>
      <w:numFmt w:val="decimal"/>
      <w:start w:val="1"/>
    </w:lvl>
  </w:abstractNum>
  <w:abstractNum w:abstractNumId="52">
    <w:nsid w:val="49DA307D"/>
    <w:multiLevelType w:val="hybridMultilevel"/>
    <w:lvl w:ilvl="0">
      <w:lvlJc w:val="left"/>
      <w:lvlText w:val="%1"/>
      <w:numFmt w:val="upperLetter"/>
      <w:start w:val="1"/>
    </w:lvl>
    <w:lvl w:ilvl="1">
      <w:lvlJc w:val="left"/>
      <w:lvlText w:val="(%2)"/>
      <w:numFmt w:val="lowerRoman"/>
      <w:start w:val="2"/>
    </w:lvl>
  </w:abstractNum>
  <w:abstractNum w:abstractNumId="53">
    <w:nsid w:val="7055A5F5"/>
    <w:multiLevelType w:val="hybridMultilevel"/>
    <w:lvl w:ilvl="0">
      <w:lvlJc w:val="left"/>
      <w:lvlText w:val="(%1)"/>
      <w:numFmt w:val="upperLetter"/>
      <w:start w:val="35"/>
    </w:lvl>
    <w:lvl w:ilvl="1">
      <w:lvlJc w:val="left"/>
      <w:lvlText w:val="%2"/>
      <w:numFmt w:val="lowerRoman"/>
      <w:start w:val="1"/>
    </w:lvl>
  </w:abstractNum>
  <w:abstractNum w:abstractNumId="54">
    <w:nsid w:val="5FB8370B"/>
    <w:multiLevelType w:val="hybridMultilevel"/>
    <w:lvl w:ilvl="0">
      <w:lvlJc w:val="left"/>
      <w:lvlText w:val="(%1)"/>
      <w:numFmt w:val="lowerRoman"/>
      <w:start w:val="3"/>
    </w:lvl>
  </w:abstractNum>
  <w:abstractNum w:abstractNumId="55">
    <w:nsid w:val="50801EE1"/>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4"/>
    </w:lvl>
  </w:abstractNum>
  <w:abstractNum w:abstractNumId="56">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7">
    <w:nsid w:val="5FB8011C"/>
    <w:multiLevelType w:val="hybridMultilevel"/>
    <w:lvl w:ilvl="0">
      <w:lvlJc w:val="left"/>
      <w:lvlText w:val="(%1)"/>
      <w:numFmt w:val="decimal"/>
      <w:start w:val="1"/>
    </w:lvl>
  </w:abstractNum>
  <w:abstractNum w:abstractNumId="58">
    <w:nsid w:val="6AA78F7F"/>
    <w:multiLevelType w:val="hybridMultilevel"/>
    <w:lvl w:ilvl="0">
      <w:lvlJc w:val="left"/>
      <w:lvlText w:val="%1"/>
      <w:numFmt w:val="upperLetter"/>
      <w:start w:val="1"/>
    </w:lvl>
    <w:lvl w:ilvl="1">
      <w:lvlJc w:val="left"/>
      <w:lvlText w:val="(%2)"/>
      <w:numFmt w:val="lowerRoman"/>
      <w:start w:val="2"/>
    </w:lvl>
  </w:abstractNum>
  <w:abstractNum w:abstractNumId="59">
    <w:nsid w:val="7672BD23"/>
    <w:multiLevelType w:val="hybridMultilevel"/>
    <w:lvl w:ilvl="0">
      <w:lvlJc w:val="left"/>
      <w:lvlText w:val="(%1)"/>
      <w:numFmt w:val="upperLetter"/>
      <w:start w:val="1"/>
    </w:lvl>
    <w:lvl w:ilvl="1">
      <w:lvlJc w:val="left"/>
      <w:lvlText w:val="%2"/>
      <w:numFmt w:val="lowerRoman"/>
      <w:start w:val="1"/>
    </w:lvl>
  </w:abstractNum>
  <w:abstractNum w:abstractNumId="60">
    <w:nsid w:val="6FC75AF8"/>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61">
    <w:nsid w:val="6A5F702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2">
    <w:nsid w:val="7D5E18F8"/>
    <w:multiLevelType w:val="hybridMultilevel"/>
    <w:lvl w:ilvl="0">
      <w:lvlJc w:val="left"/>
      <w:lvlText w:val="(%1)"/>
      <w:numFmt w:val="lowerRoman"/>
      <w:start w:val="6"/>
    </w:lvl>
  </w:abstractNum>
  <w:abstractNum w:abstractNumId="63">
    <w:nsid w:val="5F3534A4"/>
    <w:multiLevelType w:val="hybridMultilevel"/>
    <w:lvl w:ilvl="0">
      <w:lvlJc w:val="left"/>
      <w:lvlText w:val="(%1)"/>
      <w:numFmt w:val="lowerRoman"/>
      <w:start w:val="11"/>
    </w:lvl>
  </w:abstractNum>
  <w:abstractNum w:abstractNumId="64">
    <w:nsid w:val="73A1821B"/>
    <w:multiLevelType w:val="hybridMultilevel"/>
    <w:lvl w:ilvl="0">
      <w:lvlJc w:val="left"/>
      <w:lvlText w:val="(%1)"/>
      <w:numFmt w:val="lowerRoman"/>
      <w:start w:val="14"/>
    </w:lvl>
  </w:abstractNum>
  <w:abstractNum w:abstractNumId="65">
    <w:nsid w:val="7DE67713"/>
    <w:multiLevelType w:val="hybridMultilevel"/>
    <w:lvl w:ilvl="0">
      <w:lvlJc w:val="left"/>
      <w:lvlText w:val="%1"/>
      <w:numFmt w:val="lowerLetter"/>
      <w:start w:val="1"/>
    </w:lvl>
    <w:lvl w:ilvl="1">
      <w:lvlJc w:val="left"/>
      <w:lvlText w:val="(%2)"/>
      <w:numFmt w:val="lowerRoman"/>
      <w:start w:val="23"/>
    </w:lvl>
  </w:abstractNum>
  <w:abstractNum w:abstractNumId="66">
    <w:nsid w:val="555C55B5"/>
    <w:multiLevelType w:val="hybridMultilevel"/>
    <w:lvl w:ilvl="0">
      <w:lvlJc w:val="left"/>
      <w:lvlText w:val="(%1)"/>
      <w:numFmt w:val="lowerLetter"/>
      <w:start w:val="2"/>
    </w:lvl>
    <w:lvl w:ilvl="1">
      <w:lvlJc w:val="left"/>
      <w:lvlText w:val="%2"/>
      <w:numFmt w:val="lowerRoman"/>
      <w:start w:val="1"/>
    </w:lvl>
  </w:abstractNum>
  <w:abstractNum w:abstractNumId="67">
    <w:nsid w:val="3FA62ACA"/>
    <w:multiLevelType w:val="hybridMultilevel"/>
    <w:lvl w:ilvl="0">
      <w:lvlJc w:val="left"/>
      <w:lvlText w:val="(%1)"/>
      <w:numFmt w:val="lowerLetter"/>
      <w:start w:val="3"/>
    </w:lvl>
    <w:lvl w:ilvl="1">
      <w:lvlJc w:val="left"/>
      <w:lvlText w:val="%2."/>
      <w:numFmt w:val="decimal"/>
      <w:start w:val="5"/>
    </w:lvl>
  </w:abstractNum>
  <w:abstractNum w:abstractNumId="68">
    <w:nsid w:val="14FCE74E"/>
    <w:multiLevelType w:val="hybridMultilevel"/>
    <w:lvl w:ilvl="0">
      <w:lvlJc w:val="left"/>
      <w:lvlText w:val="(%1)"/>
      <w:numFmt w:val="lowerLetter"/>
      <w:start w:val="1"/>
    </w:lvl>
  </w:abstractNum>
  <w:abstractNum w:abstractNumId="69">
    <w:nsid w:val="6A3DD3E8"/>
    <w:multiLevelType w:val="hybridMultilevel"/>
    <w:lvl w:ilvl="0">
      <w:lvlJc w:val="left"/>
      <w:lvlText w:val="%1"/>
      <w:numFmt w:val="upperLetter"/>
      <w:start w:val="1"/>
    </w:lvl>
    <w:lvl w:ilvl="1">
      <w:lvlJc w:val="left"/>
      <w:lvlText w:val="(%2)"/>
      <w:numFmt w:val="lowerLetter"/>
      <w:start w:val="2"/>
    </w:lvl>
  </w:abstractNum>
  <w:abstractNum w:abstractNumId="70">
    <w:nsid w:val="71C91298"/>
    <w:multiLevelType w:val="hybridMultilevel"/>
    <w:lvl w:ilvl="0">
      <w:lvlJc w:val="left"/>
      <w:lvlText w:val="(%1)"/>
      <w:numFmt w:val="upperLetter"/>
      <w:start w:val="9"/>
    </w:lvl>
    <w:lvl w:ilvl="1">
      <w:lvlJc w:val="left"/>
      <w:lvlText w:val="%2"/>
      <w:numFmt w:val="lowerLetter"/>
      <w:start w:val="1"/>
    </w:lvl>
  </w:abstractNum>
  <w:abstractNum w:abstractNumId="71">
    <w:nsid w:val="9DAF632"/>
    <w:multiLevelType w:val="hybridMultilevel"/>
    <w:lvl w:ilvl="0">
      <w:lvlJc w:val="left"/>
      <w:lvlText w:val="%1."/>
      <w:numFmt w:val="decimal"/>
      <w:start w:val="6"/>
    </w:lvl>
    <w:lvl w:ilvl="1">
      <w:lvlJc w:val="left"/>
      <w:lvlText w:val="(%2)"/>
      <w:numFmt w:val="lowerLetter"/>
      <w:start w:val="1"/>
    </w:lvl>
  </w:abstractNum>
  <w:abstractNum w:abstractNumId="72">
    <w:nsid w:val="53299938"/>
    <w:multiLevelType w:val="hybridMultilevel"/>
    <w:lvl w:ilvl="0">
      <w:lvlJc w:val="left"/>
      <w:lvlText w:val="(%1)"/>
      <w:numFmt w:val="lowerLetter"/>
      <w:start w:val="2"/>
    </w:lvl>
    <w:lvl w:ilvl="1">
      <w:lvlJc w:val="left"/>
      <w:lvlText w:val="%2."/>
      <w:numFmt w:val="decimal"/>
      <w:start w:val="7"/>
    </w:lvl>
  </w:abstractNum>
  <w:abstractNum w:abstractNumId="73">
    <w:nsid w:val="1FBFE8E0"/>
    <w:multiLevelType w:val="hybridMultilevel"/>
    <w:lvl w:ilvl="0">
      <w:lvlJc w:val="left"/>
      <w:lvlText w:val="(%1)"/>
      <w:numFmt w:val="lowerLetter"/>
      <w:start w:val="1"/>
    </w:lvl>
    <w:lvl w:ilvl="1">
      <w:lvlJc w:val="left"/>
      <w:lvlText w:val="(%2)"/>
      <w:numFmt w:val="lowerLetter"/>
      <w:start w:val="9"/>
    </w:lvl>
  </w:abstractNum>
  <w:abstractNum w:abstractNumId="74">
    <w:nsid w:val="5092CA79"/>
    <w:multiLevelType w:val="hybridMultilevel"/>
    <w:lvl w:ilvl="0">
      <w:lvlJc w:val="left"/>
      <w:lvlText w:val="(%1)"/>
      <w:numFmt w:val="lowerRoman"/>
      <w:start w:val="2"/>
    </w:lvl>
  </w:abstractNum>
  <w:abstractNum w:abstractNumId="75">
    <w:nsid w:val="1D545C4D"/>
    <w:multiLevelType w:val="hybridMultilevel"/>
    <w:lvl w:ilvl="0">
      <w:lvlJc w:val="left"/>
      <w:lvlText w:val="%1"/>
      <w:numFmt w:val="upperLetter"/>
      <w:start w:val="1"/>
    </w:lvl>
    <w:lvl w:ilvl="1">
      <w:lvlJc w:val="left"/>
      <w:lvlText w:val="(%2)"/>
      <w:numFmt w:val="lowerRoman"/>
      <w:start w:val="3"/>
    </w:lvl>
  </w:abstractNum>
  <w:abstractNum w:abstractNumId="76">
    <w:nsid w:val="59ADEA3D"/>
    <w:multiLevelType w:val="hybridMultilevel"/>
    <w:lvl w:ilvl="0">
      <w:lvlJc w:val="left"/>
      <w:lvlText w:val="(%1)"/>
      <w:numFmt w:val="upperLetter"/>
      <w:start w:val="3"/>
    </w:lvl>
    <w:lvl w:ilvl="1">
      <w:lvlJc w:val="left"/>
      <w:lvlText w:val="%2"/>
      <w:numFmt w:val="lowerRoman"/>
      <w:start w:val="1"/>
    </w:lvl>
  </w:abstractNum>
  <w:abstractNum w:abstractNumId="77">
    <w:nsid w:val="288F1A34"/>
    <w:multiLevelType w:val="hybridMultilevel"/>
    <w:lvl w:ilvl="0">
      <w:lvlJc w:val="left"/>
      <w:lvlText w:val="%1"/>
      <w:numFmt w:val="upperLetter"/>
      <w:start w:val="1"/>
    </w:lvl>
    <w:lvl w:ilvl="1">
      <w:lvlJc w:val="left"/>
      <w:lvlText w:val="(%2)"/>
      <w:numFmt w:val="lowerRoman"/>
      <w:start w:val="5"/>
    </w:lvl>
  </w:abstractNum>
  <w:abstractNum w:abstractNumId="78">
    <w:nsid w:val="2A155DBC"/>
    <w:multiLevelType w:val="hybridMultilevel"/>
    <w:lvl w:ilvl="0">
      <w:lvlJc w:val="left"/>
      <w:lvlText w:val="(%1)"/>
      <w:numFmt w:val="upperLetter"/>
      <w:start w:val="1"/>
    </w:lvl>
    <w:lvl w:ilvl="1">
      <w:lvlJc w:val="left"/>
      <w:lvlText w:val="%2"/>
      <w:numFmt w:val="lowerRoman"/>
      <w:start w:val="1"/>
    </w:lvl>
  </w:abstractNum>
  <w:abstractNum w:abstractNumId="79">
    <w:nsid w:val="1D9F6E5F"/>
    <w:multiLevelType w:val="hybridMultilevel"/>
    <w:lvl w:ilvl="0">
      <w:lvlJc w:val="left"/>
      <w:lvlText w:val="(%1)"/>
      <w:numFmt w:val="lowerLetter"/>
      <w:start w:val="2"/>
    </w:lvl>
  </w:abstractNum>
  <w:abstractNum w:abstractNumId="80">
    <w:nsid w:val="97E1B4E"/>
    <w:multiLevelType w:val="hybridMultilevel"/>
    <w:lvl w:ilvl="0">
      <w:lvlJc w:val="left"/>
      <w:lvlText w:val="%1"/>
      <w:numFmt w:val="decimal"/>
      <w:start w:val="1"/>
    </w:lvl>
    <w:lvl w:ilvl="1">
      <w:lvlJc w:val="left"/>
      <w:lvlText w:val="(%2)"/>
      <w:numFmt w:val="lowerLetter"/>
      <w:start w:val="5"/>
    </w:lvl>
  </w:abstractNum>
  <w:abstractNum w:abstractNumId="81">
    <w:nsid w:val="51088277"/>
    <w:multiLevelType w:val="hybridMultilevel"/>
    <w:lvl w:ilvl="0">
      <w:lvlJc w:val="left"/>
      <w:lvlText w:val="%1."/>
      <w:numFmt w:val="decimal"/>
      <w:start w:val="8"/>
    </w:lvl>
    <w:lvl w:ilvl="1">
      <w:lvlJc w:val="left"/>
      <w:lvlText w:val="(%2)"/>
      <w:numFmt w:val="lowerLetter"/>
      <w:start w:val="1"/>
    </w:lvl>
  </w:abstractNum>
  <w:abstractNum w:abstractNumId="82">
    <w:nsid w:val="1CA0C5FA"/>
    <w:multiLevelType w:val="hybridMultilevel"/>
    <w:lvl w:ilvl="0">
      <w:lvlJc w:val="left"/>
      <w:lvlText w:val="%1"/>
      <w:numFmt w:val="decimal"/>
      <w:start w:val="1"/>
    </w:lvl>
    <w:lvl w:ilvl="1">
      <w:lvlJc w:val="left"/>
      <w:lvlText w:val="(%2)"/>
      <w:numFmt w:val="lowerLetter"/>
      <w:start w:val="2"/>
    </w:lvl>
  </w:abstractNum>
  <w:abstractNum w:abstractNumId="83">
    <w:nsid w:val="53584BCB"/>
    <w:multiLevelType w:val="hybridMultilevel"/>
    <w:lvl w:ilvl="0">
      <w:lvlJc w:val="left"/>
      <w:lvlText w:val="%1."/>
      <w:numFmt w:val="decimal"/>
      <w:start w:val="9"/>
    </w:lvl>
    <w:lvl w:ilvl="1">
      <w:lvlJc w:val="left"/>
      <w:lvlText w:val="(%2)"/>
      <w:numFmt w:val="lowerLetter"/>
      <w:start w:val="1"/>
    </w:lvl>
  </w:abstractNum>
  <w:abstractNum w:abstractNumId="84">
    <w:nsid w:val="415E286C"/>
    <w:multiLevelType w:val="hybridMultilevel"/>
    <w:lvl w:ilvl="0">
      <w:lvlJc w:val="left"/>
      <w:lvlText w:val="%1."/>
      <w:numFmt w:val="decimal"/>
      <w:start w:val="10"/>
    </w:lvl>
    <w:lvl w:ilvl="1">
      <w:lvlJc w:val="left"/>
      <w:lvlText w:val="(%2)"/>
      <w:numFmt w:val="lowerLetter"/>
      <w:start w:val="1"/>
    </w:lvl>
  </w:abstractNum>
  <w:abstractNum w:abstractNumId="85">
    <w:nsid w:val="7C58FD05"/>
    <w:multiLevelType w:val="hybridMultilevel"/>
    <w:lvl w:ilvl="0">
      <w:lvlJc w:val="left"/>
      <w:lvlText w:val="%1"/>
      <w:numFmt w:val="decimal"/>
      <w:start w:val="1"/>
    </w:lvl>
    <w:lvl w:ilvl="1">
      <w:lvlJc w:val="left"/>
      <w:lvlText w:val="(%2)"/>
      <w:numFmt w:val="lowerLetter"/>
      <w:start w:val="2"/>
    </w:lvl>
  </w:abstractNum>
  <w:abstractNum w:abstractNumId="86">
    <w:nsid w:val="23D86AAC"/>
    <w:multiLevelType w:val="hybridMultilevel"/>
    <w:lvl w:ilvl="0">
      <w:lvlJc w:val="left"/>
      <w:lvlText w:val="%1."/>
      <w:numFmt w:val="decimal"/>
      <w:start w:val="11"/>
    </w:lvl>
    <w:lvl w:ilvl="1">
      <w:lvlJc w:val="left"/>
      <w:lvlText w:val="%2"/>
      <w:numFmt w:val="lowerLetter"/>
      <w:start w:val="1"/>
    </w:lvl>
  </w:abstractNum>
  <w:abstractNum w:abstractNumId="87">
    <w:nsid w:val="45E6D486"/>
    <w:multiLevelType w:val="hybridMultilevel"/>
    <w:lvl w:ilvl="0">
      <w:lvlJc w:val="left"/>
      <w:lvlText w:val="%1."/>
      <w:numFmt w:val="decimal"/>
      <w:start w:val="12"/>
    </w:lvl>
    <w:lvl w:ilvl="1">
      <w:lvlJc w:val="left"/>
      <w:lvlText w:val="(%2)"/>
      <w:numFmt w:val="lowerLetter"/>
      <w:start w:val="1"/>
    </w:lvl>
  </w:abstractNum>
  <w:abstractNum w:abstractNumId="88">
    <w:nsid w:val="5C10FE21"/>
    <w:multiLevelType w:val="hybridMultilevel"/>
    <w:lvl w:ilvl="0">
      <w:lvlJc w:val="left"/>
      <w:lvlText w:val="%1."/>
      <w:numFmt w:val="decimal"/>
      <w:start w:val="13"/>
    </w:lvl>
    <w:lvl w:ilvl="1">
      <w:lvlJc w:val="left"/>
      <w:lvlText w:val="(%2)"/>
      <w:numFmt w:val="lowerLetter"/>
      <w:start w:val="1"/>
    </w:lvl>
  </w:abstractNum>
  <w:abstractNum w:abstractNumId="89">
    <w:nsid w:val="E7FFA2B"/>
    <w:multiLevelType w:val="hybridMultilevel"/>
    <w:lvl w:ilvl="0">
      <w:lvlJc w:val="left"/>
      <w:lvlText w:val="%1"/>
      <w:numFmt w:val="decimal"/>
      <w:start w:val="1"/>
    </w:lvl>
    <w:lvl w:ilvl="1">
      <w:lvlJc w:val="left"/>
      <w:lvlText w:val="(%2)"/>
      <w:numFmt w:val="lowerLetter"/>
      <w:start w:val="2"/>
    </w:lvl>
  </w:abstractNum>
  <w:abstractNum w:abstractNumId="90">
    <w:nsid w:val="3C5991AA"/>
    <w:multiLevelType w:val="hybridMultilevel"/>
    <w:lvl w:ilvl="0">
      <w:lvlJc w:val="left"/>
      <w:lvlText w:val="%1."/>
      <w:numFmt w:val="decimal"/>
      <w:start w:val="14"/>
    </w:lvl>
    <w:lvl w:ilvl="1">
      <w:lvlJc w:val="left"/>
      <w:lvlText w:val="(%2)"/>
      <w:numFmt w:val="lowerLetter"/>
      <w:start w:val="1"/>
    </w:lvl>
  </w:abstractNum>
  <w:abstractNum w:abstractNumId="91">
    <w:nsid w:val="4BD8591A"/>
    <w:multiLevelType w:val="hybridMultilevel"/>
    <w:lvl w:ilvl="0">
      <w:lvlJc w:val="left"/>
      <w:lvlText w:val="%1"/>
      <w:numFmt w:val="lowerLetter"/>
      <w:start w:val="1"/>
    </w:lvl>
    <w:lvl w:ilvl="1">
      <w:lvlJc w:val="left"/>
      <w:lvlText w:val="(%2)"/>
      <w:numFmt w:val="lowerLetter"/>
      <w:start w:val="3"/>
    </w:lvl>
  </w:abstractNum>
  <w:abstractNum w:abstractNumId="92">
    <w:nsid w:val="78DF6A55"/>
    <w:multiLevelType w:val="hybridMultilevel"/>
    <w:lvl w:ilvl="0">
      <w:lvlJc w:val="left"/>
      <w:lvlText w:val="(%1)"/>
      <w:numFmt w:val="lowerLetter"/>
      <w:start w:val="26"/>
    </w:lvl>
    <w:lvl w:ilvl="1">
      <w:lvlJc w:val="left"/>
      <w:lvlText w:val="(%2)"/>
      <w:numFmt w:val="lowerLetter"/>
      <w:start w:val="7"/>
    </w:lvl>
  </w:abstractNum>
  <w:abstractNum w:abstractNumId="93">
    <w:nsid w:val="39B7AAA2"/>
    <w:multiLevelType w:val="hybridMultilevel"/>
    <w:lvl w:ilvl="0">
      <w:lvlJc w:val="left"/>
      <w:lvlText w:val="(%1)"/>
      <w:numFmt w:val="lowerLetter"/>
      <w:start w:val="9"/>
    </w:lvl>
  </w:abstractNum>
  <w:abstractNum w:abstractNumId="94">
    <w:nsid w:val="2B0D8DBE"/>
    <w:multiLevelType w:val="hybridMultilevel"/>
    <w:lvl w:ilvl="0">
      <w:lvlJc w:val="left"/>
      <w:lvlText w:val="%1"/>
      <w:numFmt w:val="lowerLetter"/>
      <w:start w:val="1"/>
    </w:lvl>
    <w:lvl w:ilvl="1">
      <w:lvlJc w:val="left"/>
      <w:lvlText w:val="(%2)"/>
      <w:numFmt w:val="lowerLetter"/>
      <w:start w:val="14"/>
    </w:lvl>
  </w:abstractNum>
  <w:abstractNum w:abstractNumId="95">
    <w:nsid w:val="6C80EC70"/>
    <w:multiLevelType w:val="hybridMultilevel"/>
    <w:lvl w:ilvl="0">
      <w:lvlJc w:val="left"/>
      <w:lvlText w:val="(%1)"/>
      <w:numFmt w:val="lowerLetter"/>
      <w:start w:val="35"/>
    </w:lvl>
    <w:lvl w:ilvl="1">
      <w:lvlJc w:val="left"/>
      <w:lvlText w:val="(%2)"/>
      <w:numFmt w:val="lowerLetter"/>
      <w:start w:val="15"/>
    </w:lvl>
  </w:abstractNum>
  <w:abstractNum w:abstractNumId="96">
    <w:nsid w:val="379E21B5"/>
    <w:multiLevelType w:val="hybridMultilevel"/>
    <w:lvl w:ilvl="0">
      <w:lvlJc w:val="left"/>
      <w:lvlText w:val="(%1)"/>
      <w:numFmt w:val="lowerLetter"/>
      <w:start w:val="17"/>
    </w:lvl>
    <w:lvl w:ilvl="1">
      <w:lvlJc w:val="left"/>
      <w:lvlText w:val="(%2)"/>
      <w:numFmt w:val="lowerRoman"/>
      <w:start w:val="1"/>
    </w:lvl>
  </w:abstractNum>
  <w:abstractNum w:abstractNumId="97">
    <w:nsid w:val="69E373"/>
    <w:multiLevelType w:val="hybridMultilevel"/>
    <w:lvl w:ilvl="0">
      <w:lvlJc w:val="left"/>
      <w:lvlText w:val="%1"/>
      <w:numFmt w:val="lowerLetter"/>
      <w:start w:val="1"/>
    </w:lvl>
    <w:lvl w:ilvl="1">
      <w:lvlJc w:val="left"/>
      <w:lvlText w:val="(%2)"/>
      <w:numFmt w:val="lowerLetter"/>
      <w:start w:val="20"/>
    </w:lvl>
  </w:abstractNum>
  <w:abstractNum w:abstractNumId="98">
    <w:nsid w:val="2C27173B"/>
    <w:multiLevelType w:val="hybridMultilevel"/>
    <w:lvl w:ilvl="0">
      <w:lvlJc w:val="left"/>
      <w:lvlText w:val="(%1)"/>
      <w:numFmt w:val="lowerLetter"/>
      <w:start w:val="25"/>
    </w:lvl>
    <w:lvl w:ilvl="1">
      <w:lvlJc w:val="left"/>
      <w:lvlText w:val="%2"/>
      <w:numFmt w:val="lowerLetter"/>
      <w:start w:val="1"/>
    </w:lvl>
  </w:abstractNum>
  <w:abstractNum w:abstractNumId="99">
    <w:nsid w:val="4C9B0904"/>
    <w:multiLevelType w:val="hybridMultilevel"/>
    <w:lvl w:ilvl="0">
      <w:lvlJc w:val="left"/>
      <w:lvlText w:val="%1."/>
      <w:numFmt w:val="decimal"/>
      <w:start w:val="16"/>
    </w:lvl>
  </w:abstractNum>
  <w:abstractNum w:abstractNumId="100">
    <w:nsid w:val="6AA7B75C"/>
    <w:multiLevelType w:val="hybridMultilevel"/>
    <w:lvl w:ilvl="0">
      <w:lvlJc w:val="left"/>
      <w:lvlText w:val="%1."/>
      <w:numFmt w:val="decimal"/>
      <w:start w:val="17"/>
    </w:lvl>
    <w:lvl w:ilvl="1">
      <w:lvlJc w:val="left"/>
      <w:lvlText w:val="(%2)"/>
      <w:numFmt w:val="lowerLetter"/>
      <w:start w:val="1"/>
    </w:lvl>
  </w:abstractNum>
  <w:abstractNum w:abstractNumId="101">
    <w:nsid w:val="1DF029D3"/>
    <w:multiLevelType w:val="hybridMultilevel"/>
    <w:lvl w:ilvl="0">
      <w:lvlJc w:val="left"/>
      <w:lvlText w:val="%1"/>
      <w:numFmt w:val="lowerLetter"/>
      <w:start w:val="1"/>
    </w:lvl>
    <w:lvl w:ilvl="1">
      <w:lvlJc w:val="left"/>
      <w:lvlText w:val="(%2)"/>
      <w:numFmt w:val="lowerLetter"/>
      <w:start w:val="3"/>
    </w:lvl>
  </w:abstractNum>
  <w:abstractNum w:abstractNumId="102">
    <w:nsid w:val="5675FF36"/>
    <w:multiLevelType w:val="hybridMultilevel"/>
    <w:lvl w:ilvl="0">
      <w:lvlJc w:val="left"/>
      <w:lvlText w:val="(%1)"/>
      <w:numFmt w:val="lowerLetter"/>
      <w:start w:val="9"/>
    </w:lvl>
    <w:lvl w:ilvl="1">
      <w:lvlJc w:val="left"/>
      <w:lvlText w:val="%2"/>
      <w:numFmt w:val="lowerLetter"/>
      <w:start w:val="1"/>
    </w:lvl>
  </w:abstractNum>
  <w:abstractNum w:abstractNumId="103">
    <w:nsid w:val="3DD15094"/>
    <w:multiLevelType w:val="hybridMultilevel"/>
    <w:lvl w:ilvl="0">
      <w:lvlJc w:val="left"/>
      <w:lvlText w:val="%1."/>
      <w:numFmt w:val="decimal"/>
      <w:start w:val="21"/>
    </w:lvl>
  </w:abstractNum>
  <w:abstractNum w:abstractNumId="104">
    <w:nsid w:val="3DB012B3"/>
    <w:multiLevelType w:val="hybridMultilevel"/>
    <w:lvl w:ilvl="0">
      <w:lvlJc w:val="left"/>
      <w:lvlText w:val="%1."/>
      <w:numFmt w:val="decimal"/>
      <w:start w:val="22"/>
    </w:lvl>
    <w:lvl w:ilvl="1">
      <w:lvlJc w:val="left"/>
      <w:lvlText w:val="(%2)"/>
      <w:numFmt w:val="lowerLetter"/>
      <w:start w:val="1"/>
    </w:lvl>
    <w:lvl w:ilvl="2">
      <w:lvlJc w:val="left"/>
      <w:lvlText w:val="(%3)"/>
      <w:numFmt w:val="lowerLetter"/>
      <w:start w:val="9"/>
    </w:lvl>
  </w:abstractNum>
  <w:abstractNum w:abstractNumId="105">
    <w:nsid w:val="2708C9AF"/>
    <w:multiLevelType w:val="hybridMultilevel"/>
    <w:lvl w:ilvl="0">
      <w:lvlJc w:val="left"/>
      <w:lvlText w:val="%1"/>
      <w:numFmt w:val="upperLetter"/>
      <w:start w:val="1"/>
    </w:lvl>
    <w:lvl w:ilvl="1">
      <w:lvlJc w:val="left"/>
      <w:lvlText w:val="(%2)"/>
      <w:numFmt w:val="lowerRoman"/>
      <w:start w:val="2"/>
    </w:lvl>
  </w:abstractNum>
  <w:abstractNum w:abstractNumId="106">
    <w:nsid w:val="5B25ACE2"/>
    <w:multiLevelType w:val="hybridMultilevel"/>
    <w:lvl w:ilvl="0">
      <w:lvlJc w:val="left"/>
      <w:lvlText w:val="(%1)"/>
      <w:numFmt w:val="upperLetter"/>
      <w:start w:val="1"/>
    </w:lvl>
    <w:lvl w:ilvl="1">
      <w:lvlJc w:val="left"/>
      <w:lvlText w:val="(%2)"/>
      <w:numFmt w:val="lowerRoman"/>
      <w:start w:val="3"/>
    </w:lvl>
  </w:abstractNum>
  <w:abstractNum w:abstractNumId="107">
    <w:nsid w:val="175DFCF0"/>
    <w:multiLevelType w:val="hybridMultilevel"/>
    <w:lvl w:ilvl="0">
      <w:lvlJc w:val="left"/>
      <w:lvlText w:val="%1"/>
      <w:numFmt w:val="upperLetter"/>
      <w:start w:val="1"/>
    </w:lvl>
    <w:lvl w:ilvl="1">
      <w:lvlJc w:val="left"/>
      <w:lvlText w:val="(%2)"/>
      <w:numFmt w:val="lowerLetter"/>
      <w:start w:val="2"/>
    </w:lvl>
  </w:abstractNum>
  <w:abstractNum w:abstractNumId="108">
    <w:nsid w:val="4F97E3E4"/>
    <w:multiLevelType w:val="hybridMultilevel"/>
    <w:lvl w:ilvl="0">
      <w:lvlJc w:val="left"/>
      <w:lvlText w:val="(%1)"/>
      <w:numFmt w:val="upperLetter"/>
      <w:start w:val="3"/>
    </w:lvl>
    <w:lvl w:ilvl="1">
      <w:lvlJc w:val="left"/>
      <w:lvlText w:val="%2"/>
      <w:numFmt w:val="lowerLetter"/>
      <w:start w:val="1"/>
    </w:lvl>
  </w:abstractNum>
  <w:abstractNum w:abstractNumId="109">
    <w:nsid w:val="53B0A9E"/>
    <w:multiLevelType w:val="hybridMultilevel"/>
    <w:lvl w:ilvl="0">
      <w:lvlJc w:val="left"/>
      <w:lvlText w:val="%1."/>
      <w:numFmt w:val="decimal"/>
      <w:start w:val="26"/>
    </w:lvl>
    <w:lvl w:ilvl="1">
      <w:lvlJc w:val="left"/>
      <w:lvlText w:val="(%2)"/>
      <w:numFmt w:val="lowerLetter"/>
      <w:start w:val="1"/>
    </w:lvl>
  </w:abstractNum>
  <w:abstractNum w:abstractNumId="110">
    <w:nsid w:val="34FD6B4F"/>
    <w:multiLevelType w:val="hybridMultilevel"/>
    <w:lvl w:ilvl="0">
      <w:lvlJc w:val="left"/>
      <w:lvlText w:val="%1"/>
      <w:numFmt w:val="decimal"/>
      <w:start w:val="1"/>
    </w:lvl>
    <w:lvl w:ilvl="1">
      <w:lvlJc w:val="left"/>
      <w:lvlText w:val="(%2)"/>
      <w:numFmt w:val="lowerLetter"/>
      <w:start w:val="3"/>
    </w:lvl>
  </w:abstractNum>
  <w:abstractNum w:abstractNumId="111">
    <w:nsid w:val="5915FF32"/>
    <w:multiLevelType w:val="hybridMultilevel"/>
    <w:lvl w:ilvl="0">
      <w:lvlJc w:val="left"/>
      <w:lvlText w:val="%1."/>
      <w:numFmt w:val="decimal"/>
      <w:start w:val="27"/>
    </w:lvl>
    <w:lvl w:ilvl="1">
      <w:lvlJc w:val="left"/>
      <w:lvlText w:val="%2"/>
      <w:numFmt w:val="lowerLetter"/>
      <w:start w:val="1"/>
    </w:lvl>
  </w:abstractNum>
  <w:abstractNum w:abstractNumId="112">
    <w:nsid w:val="56438D15"/>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113">
    <w:nsid w:val="519E3149"/>
    <w:multiLevelType w:val="hybridMultilevel"/>
    <w:lvl w:ilvl="0">
      <w:lvlJc w:val="left"/>
      <w:lvlText w:val="%1."/>
      <w:numFmt w:val="decimal"/>
      <w:start w:val="32"/>
    </w:lvl>
    <w:lvl w:ilvl="1">
      <w:lvlJc w:val="left"/>
      <w:lvlText w:val="(%2)"/>
      <w:numFmt w:val="lowerLetter"/>
      <w:start w:val="1"/>
    </w:lvl>
  </w:abstractNum>
  <w:abstractNum w:abstractNumId="114">
    <w:nsid w:val="2C6E4AFD"/>
    <w:multiLevelType w:val="hybridMultilevel"/>
    <w:lvl w:ilvl="0">
      <w:lvlJc w:val="left"/>
      <w:lvlText w:val="%1"/>
      <w:numFmt w:val="decimal"/>
      <w:start w:val="1"/>
    </w:lvl>
    <w:lvl w:ilvl="1">
      <w:lvlJc w:val="left"/>
      <w:lvlText w:val="(%2)"/>
      <w:numFmt w:val="lowerLetter"/>
      <w:start w:val="7"/>
    </w:lvl>
  </w:abstractNum>
  <w:abstractNum w:abstractNumId="115">
    <w:nsid w:val="17A1B582"/>
    <w:multiLevelType w:val="hybridMultilevel"/>
    <w:lvl w:ilvl="0">
      <w:lvlJc w:val="left"/>
      <w:lvlText w:val="(%1)"/>
      <w:numFmt w:val="decimal"/>
      <w:start w:val="10"/>
    </w:lvl>
    <w:lvl w:ilvl="1">
      <w:lvlJc w:val="left"/>
      <w:lvlText w:val="(%2)"/>
      <w:numFmt w:val="lowerLetter"/>
      <w:start w:val="8"/>
    </w:lvl>
  </w:abstractNum>
  <w:abstractNum w:abstractNumId="116">
    <w:nsid w:val="4DF72E4E"/>
    <w:multiLevelType w:val="hybridMultilevel"/>
    <w:lvl w:ilvl="0">
      <w:lvlJc w:val="left"/>
      <w:lvlText w:val="(%1)"/>
      <w:numFmt w:val="lowerLetter"/>
      <w:start w:val="12"/>
    </w:lvl>
  </w:abstractNum>
  <w:abstractNum w:abstractNumId="117">
    <w:nsid w:val="5046B5A9"/>
    <w:multiLevelType w:val="hybridMultilevel"/>
    <w:lvl w:ilvl="0">
      <w:lvlJc w:val="left"/>
      <w:lvlText w:val="(%1)"/>
      <w:numFmt w:val="lowerLetter"/>
      <w:start w:val="17"/>
    </w:lvl>
  </w:abstractNum>
  <w:abstractNum w:abstractNumId="118">
    <w:nsid w:val="5D888A08"/>
    <w:multiLevelType w:val="hybridMultilevel"/>
    <w:lvl w:ilvl="0">
      <w:lvlJc w:val="left"/>
      <w:lvlText w:val="(%1)"/>
      <w:numFmt w:val="lowerLetter"/>
      <w:start w:val="23"/>
    </w:lvl>
  </w:abstractNum>
  <w:abstractNum w:abstractNumId="119">
    <w:nsid w:val="2A082C70"/>
    <w:multiLevelType w:val="hybridMultilevel"/>
    <w:lvl w:ilvl="0">
      <w:lvlJc w:val="left"/>
      <w:lvlText w:val="%1"/>
      <w:numFmt w:val="decimal"/>
      <w:start w:val="1"/>
    </w:lvl>
    <w:lvl w:ilvl="1">
      <w:lvlJc w:val="left"/>
      <w:lvlText w:val="(%2)"/>
      <w:numFmt w:val="lowerLetter"/>
      <w:start w:val="25"/>
    </w:lvl>
  </w:abstractNum>
  <w:abstractNum w:abstractNumId="120">
    <w:nsid w:val="5EC6AFD4"/>
    <w:multiLevelType w:val="hybridMultilevel"/>
    <w:lvl w:ilvl="0">
      <w:lvlJc w:val="left"/>
      <w:lvlText w:val="(%1)"/>
      <w:numFmt w:val="decimal"/>
      <w:start w:val="15"/>
    </w:lvl>
    <w:lvl w:ilvl="1">
      <w:lvlJc w:val="left"/>
      <w:lvlText w:val="(%2)"/>
      <w:numFmt w:val="lowerLetter"/>
      <w:start w:val="27"/>
    </w:lvl>
  </w:abstractNum>
  <w:abstractNum w:abstractNumId="121">
    <w:nsid w:val="19E21BB2"/>
    <w:multiLevelType w:val="hybridMultilevel"/>
    <w:lvl w:ilvl="0">
      <w:lvlJc w:val="left"/>
      <w:lvlText w:val="%1"/>
      <w:numFmt w:val="lowerLetter"/>
      <w:start w:val="1"/>
    </w:lvl>
    <w:lvl w:ilvl="1">
      <w:lvlJc w:val="left"/>
      <w:lvlText w:val="(%2)"/>
      <w:numFmt w:val="lowerLetter"/>
      <w:start w:val="29"/>
    </w:lvl>
  </w:abstractNum>
  <w:abstractNum w:abstractNumId="122">
    <w:nsid w:val="75E0858A"/>
    <w:multiLevelType w:val="hybridMultilevel"/>
    <w:lvl w:ilvl="0">
      <w:lvlJc w:val="left"/>
      <w:lvlText w:val="(%1)"/>
      <w:numFmt w:val="lowerLetter"/>
      <w:start w:val="26"/>
    </w:lvl>
    <w:lvl w:ilvl="1">
      <w:lvlJc w:val="left"/>
      <w:lvlText w:val="%2"/>
      <w:numFmt w:val="lowerLetter"/>
      <w:start w:val="1"/>
    </w:lvl>
  </w:abstractNum>
  <w:abstractNum w:abstractNumId="123">
    <w:nsid w:val="57A61A29"/>
    <w:multiLevelType w:val="hybridMultilevel"/>
    <w:lvl w:ilvl="0">
      <w:lvlJc w:val="left"/>
      <w:lvlText w:val="(%1)"/>
      <w:numFmt w:val="lowerLetter"/>
      <w:start w:val="22"/>
    </w:lvl>
    <w:lvl w:ilvl="1">
      <w:lvlJc w:val="left"/>
      <w:lvlText w:val="%2"/>
      <w:numFmt w:val="lowerLetter"/>
      <w:start w:val="1"/>
    </w:lvl>
  </w:abstractNum>
  <w:abstractNum w:abstractNumId="124">
    <w:nsid w:val="5399C654"/>
    <w:multiLevelType w:val="hybridMultilevel"/>
    <w:lvl w:ilvl="0">
      <w:lvlJc w:val="left"/>
      <w:lvlText w:val="3"/>
      <w:numFmt w:val="bullet"/>
      <w:start w:val="1"/>
    </w:lvl>
  </w:abstractNum>
  <w:abstractNum w:abstractNumId="125">
    <w:nsid w:val="20EE1348"/>
    <w:multiLevelType w:val="hybridMultilevel"/>
    <w:lvl w:ilvl="0">
      <w:lvlJc w:val="left"/>
      <w:lvlText w:val="(%1)"/>
      <w:numFmt w:val="lowerLetter"/>
      <w:start w:val="25"/>
    </w:lvl>
    <w:lvl w:ilvl="1">
      <w:lvlJc w:val="left"/>
      <w:lvlText w:val="(%2)"/>
      <w:numFmt w:val="lowerLetter"/>
      <w:start w:val="32"/>
    </w:lvl>
  </w:abstractNum>
  <w:abstractNum w:abstractNumId="126">
    <w:nsid w:val="4427069A"/>
    <w:multiLevelType w:val="hybridMultilevel"/>
    <w:lvl w:ilvl="0">
      <w:lvlJc w:val="left"/>
      <w:lvlText w:val="(%1)"/>
      <w:numFmt w:val="lowerRoman"/>
      <w:start w:val="2"/>
    </w:lvl>
  </w:abstractNum>
  <w:abstractNum w:abstractNumId="127">
    <w:nsid w:val="B37E80A"/>
    <w:multiLevelType w:val="hybridMultilevel"/>
    <w:lvl w:ilvl="0">
      <w:lvlJc w:val="left"/>
      <w:lvlText w:val="(%1)"/>
      <w:numFmt w:val="lowerLetter"/>
      <w:start w:val="38"/>
    </w:lvl>
  </w:abstractNum>
  <w:abstractNum w:abstractNumId="128">
    <w:nsid w:val="2157F6BC"/>
    <w:multiLevelType w:val="hybridMultilevel"/>
    <w:lvl w:ilvl="0">
      <w:lvlJc w:val="left"/>
      <w:lvlText w:val="(%1)"/>
      <w:numFmt w:val="lowerLetter"/>
      <w:start w:val="39"/>
    </w:lvl>
  </w:abstractNum>
  <w:abstractNum w:abstractNumId="129">
    <w:nsid w:val="704E1DD5"/>
    <w:multiLevelType w:val="hybridMultilevel"/>
    <w:lvl w:ilvl="0">
      <w:lvlJc w:val="left"/>
      <w:lvlText w:val="4"/>
      <w:numFmt w:val="bullet"/>
      <w:start w:val="1"/>
    </w:lvl>
  </w:abstractNum>
  <w:abstractNum w:abstractNumId="130">
    <w:nsid w:val="57D2F10E"/>
    <w:multiLevelType w:val="hybridMultilevel"/>
    <w:lvl w:ilvl="0">
      <w:lvlJc w:val="left"/>
      <w:lvlText w:val="(%1)"/>
      <w:numFmt w:val="lowerLetter"/>
      <w:start w:val="46"/>
    </w:lvl>
  </w:abstractNum>
  <w:abstractNum w:abstractNumId="131">
    <w:nsid w:val="BFFAE18"/>
    <w:multiLevelType w:val="hybridMultilevel"/>
    <w:lvl w:ilvl="0">
      <w:lvlJc w:val="left"/>
      <w:lvlText w:val="(%1)"/>
      <w:numFmt w:val="lowerLetter"/>
      <w:start w:val="51"/>
    </w:lvl>
  </w:abstractNum>
  <w:abstractNum w:abstractNumId="132">
    <w:nsid w:val="E3E47A8"/>
    <w:multiLevelType w:val="hybridMultilevel"/>
    <w:lvl w:ilvl="0">
      <w:lvlJc w:val="left"/>
      <w:lvlText w:val="(%1)"/>
      <w:numFmt w:val="lowerLetter"/>
      <w:start w:val="53"/>
    </w:lvl>
  </w:abstractNum>
  <w:abstractNum w:abstractNumId="133">
    <w:nsid w:val="2E48F044"/>
    <w:multiLevelType w:val="hybridMultilevel"/>
    <w:lvl w:ilvl="0">
      <w:lvlJc w:val="left"/>
      <w:lvlText w:val="(%1)"/>
      <w:numFmt w:val="lowerLetter"/>
      <w:start w:val="63"/>
    </w:lvl>
  </w:abstractNum>
  <w:abstractNum w:abstractNumId="134">
    <w:nsid w:val="49D0FEAC"/>
    <w:multiLevelType w:val="hybridMultilevel"/>
    <w:lvl w:ilvl="0">
      <w:lvlJc w:val="left"/>
      <w:lvlText w:val="%1"/>
      <w:numFmt w:val="lowerLetter"/>
      <w:start w:val="1"/>
    </w:lvl>
    <w:lvl w:ilvl="1">
      <w:lvlJc w:val="left"/>
      <w:lvlText w:val="%2."/>
      <w:numFmt w:val="decimal"/>
      <w:start w:val="34"/>
    </w:lvl>
  </w:abstractNum>
  <w:abstractNum w:abstractNumId="135">
    <w:nsid w:val="4BEE5A5B"/>
    <w:multiLevelType w:val="hybridMultilevel"/>
    <w:lvl w:ilvl="0">
      <w:lvlJc w:val="left"/>
      <w:lvlText w:val="(%1)"/>
      <w:numFmt w:val="lowerLetter"/>
      <w:start w:val="2"/>
    </w:lvl>
    <w:lvl w:ilvl="1">
      <w:lvlJc w:val="left"/>
      <w:lvlText w:val="%2"/>
      <w:numFmt w:val="decimal"/>
      <w:start w:val="1"/>
    </w:lvl>
  </w:abstractNum>
  <w:abstractNum w:abstractNumId="136">
    <w:nsid w:val="5551B9F3"/>
    <w:multiLevelType w:val="hybridMultilevel"/>
    <w:lvl w:ilvl="0">
      <w:lvlJc w:val="left"/>
      <w:lvlText w:val="☐"/>
      <w:numFmt w:val="bullet"/>
      <w:start w:val="1"/>
    </w:lvl>
  </w:abstractNum>
  <w:abstractNum w:abstractNumId="137">
    <w:nsid w:val="24F6AB8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2026-06-17T07:12:53Z</dcterms:created>
  <dcterms:modified xsi:type="dcterms:W3CDTF">2026-06-17T07:12:53Z</dcterms:modified>
</cp:coreProperties>
</file>