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0002139664</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Smartbird,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001-40963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6"/>
              </w:rPr>
              <w:t>530 WASHINGTON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360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94111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628-225-4848</w:t>
            </w:r>
          </w:p>
        </w:tc>
        <w:tc>
          <w:tcPr>
            <w:tcW w:w="0" w:type="dxa"/>
            <w:vAlign w:val="bottom"/>
          </w:tcPr>
          <w:p>
            <w:pPr>
              <w:spacing w:after="0"/>
              <w:rPr>
                <w:sz w:val="1"/>
                <w:szCs w:val="1"/>
                <w:color w:val="auto"/>
              </w:rPr>
            </w:pP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Carlsten Nadia Catherine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117459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494632.00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6274827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06/25/2026 Lapse - See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Smartbird, Inc.</w:t>
            </w:r>
          </w:p>
        </w:tc>
        <w:tc>
          <w:tcPr>
            <w:tcW w:w="272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117459</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27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Shares sold to cover tax obligation from settlement of vested Restricted Stock Units. The shares sold in this filing</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9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were sold on 06/25/2026.</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06/26/2026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Nadia Catherine Carlsten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2026-06-26T16:07:45Z</dcterms:created>
  <dcterms:modified xsi:type="dcterms:W3CDTF">2026-06-26T16:07:45Z</dcterms:modified>
</cp:coreProperties>
</file>