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Timothy O.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SMARTBIRD,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1875 MISSION STREET, SUITE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Smartbird,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BIRD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RSUs shall vest in full on the first anniversary of the Grant Date, subject to Mr. Brown's continued service as a non-employee director through such date. If Mr. Brown's service as a non-employee director ends before the first anniversary of the Grant Date for any reason other than removal for Cause (as defined in the Plan), a pro-rata portion of the RSUs shall vest: 1/12th of the total RSUs for each full calendar month of service as a non-employee director from June 2026 through the end of the calendar month during which service terminates (not to exceed 100% of the award amount).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Mitchell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574" TargetMode="External"/><Relationship Id="rId5" Type="http://schemas.openxmlformats.org/officeDocument/2006/relationships/hyperlink" Target="http://www.sec.gov/cgi-bin/browse-edgar?action=getcompany&amp;CIK=00016539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3557</Characters>
  <CharactersWithSpaces>4159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