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ird20260708_8k.htm"/>
      <w:bookmarkStart w:id="1" w:name="ksbird20260708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July 28, 2026</w:t>
      </w:r>
      <w:r>
        <w:rPr>
          <w:rFonts w:ascii="Times New Roman" w:hAnsi="Times New Roman"/>
          <w:caps w:val="false"/>
          <w:smallCaps w:val="false"/>
          <w:sz w:val="20"/>
        </w:rPr>
        <w:t xml:space="preserve">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Smartbird,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40"/>
        <w:gridCol w:w="800"/>
        <w:gridCol w:w="890"/>
      </w:tblGrid>
      <w:tr>
        <w:trPr/>
        <w:tc>
          <w:tcPr>
            <w:tcW w:w="7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001-40963</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47-3999983</w:t>
            </w:r>
          </w:p>
        </w:tc>
      </w:tr>
    </w:tbl>
    <w:tbl>
      <w:tblPr>
        <w:tblW w:w="3525" w:type="dxa"/>
        <w:jc w:val="left"/>
        <w:tblInd w:w="0" w:type="dxa"/>
        <w:tblLayout w:type="fixed"/>
        <w:tblCellMar>
          <w:top w:w="0" w:type="dxa"/>
          <w:left w:w="0" w:type="dxa"/>
          <w:bottom w:w="0" w:type="dxa"/>
          <w:right w:w="0" w:type="dxa"/>
        </w:tblCellMar>
      </w:tblPr>
      <w:tblGrid>
        <w:gridCol w:w="1610"/>
        <w:gridCol w:w="800"/>
        <w:gridCol w:w="1115"/>
      </w:tblGrid>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(State or other jurisdiction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(Commission</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(IRS Employer</w:t>
            </w:r>
          </w:p>
        </w:tc>
      </w:tr>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of incorporation)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File Number)</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Identification No.)</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425 Page Mill Rd.</w:t>
            </w:r>
            <w:r>
              <w:rPr>
                <w:rFonts w:ascii="Times New Roman" w:hAnsi="Times New Roman"/>
                <w:caps w:val="false"/>
                <w:smallCaps w:val="false"/>
                <w:sz w:val="20"/>
              </w:rPr>
              <w:t xml:space="preserve"> </w:t>
              <w:br/>
            </w:r>
            <w:r>
              <w:rPr>
                <w:rFonts w:ascii="Times New Roman" w:hAnsi="Times New Roman"/>
                <w:b/>
                <w:caps w:val="false"/>
                <w:smallCaps w:val="false"/>
                <w:sz w:val="20"/>
              </w:rPr>
              <w:t>Suite 200</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Palo Alto, CA94306</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(Address of principal executive offices, including zip code)</w:t>
            </w:r>
          </w:p>
        </w:tc>
      </w:tr>
      <w:tr>
        <w:trPr/>
        <w:tc>
          <w:tcPr>
            <w:tcW w:w="3650" w:type="dxa"/>
            <w:tcBorders/>
            <w:vAlign w:val="center"/>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(628) 225-4848</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14"/>
              </w:rPr>
            </w:pPr>
            <w:r>
              <w:rPr>
                <w:rFonts w:ascii="Times New Roman" w:hAnsi="Times New Roman"/>
                <w:b/>
                <w:caps w:val="false"/>
                <w:smallCaps w:val="false"/>
                <w:sz w:val="14"/>
              </w:rPr>
              <w:t>(Registrant</w:t>
            </w:r>
            <w:r>
              <w:rPr>
                <w:rFonts w:ascii="Times New Roman" w:hAnsi="Times New Roman"/>
                <w:caps w:val="false"/>
                <w:smallCaps w:val="false"/>
                <w:sz w:val="14"/>
              </w:rPr>
              <w:t>’</w:t>
            </w:r>
            <w:r>
              <w:rPr>
                <w:rFonts w:ascii="Times New Roman" w:hAnsi="Times New Roman"/>
                <w:b/>
                <w:caps w:val="false"/>
                <w:smallCaps w:val="false"/>
                <w:sz w:val="14"/>
              </w:rPr>
              <w:t>s telephone number, including area code)</w:t>
            </w:r>
          </w:p>
        </w:tc>
      </w:tr>
      <w:tr>
        <w:trPr/>
        <w:tc>
          <w:tcPr>
            <w:tcW w:w="3650" w:type="dxa"/>
            <w:tcBorders/>
            <w:vAlign w:val="center"/>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530 Washington St.</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San Francisco, CA 94111</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Written communications pursuant to Rule 425 under the Securities Act (17 CFR 230.425)</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Soliciting material pursuant to Rule 14a-12 under the Exchange Act (17 CFR 240.14a-12)</w:t>
            </w:r>
          </w:p>
        </w:tc>
      </w:tr>
    </w:tbl>
    <w:tbl>
      <w:tblPr>
        <w:tblW w:w="8260" w:type="dxa"/>
        <w:jc w:val="left"/>
        <w:tblInd w:w="0" w:type="dxa"/>
        <w:tblLayout w:type="fixed"/>
        <w:tblCellMar>
          <w:top w:w="0" w:type="dxa"/>
          <w:left w:w="0" w:type="dxa"/>
          <w:bottom w:w="0" w:type="dxa"/>
          <w:right w:w="0" w:type="dxa"/>
        </w:tblCellMar>
      </w:tblPr>
      <w:tblGrid>
        <w:gridCol w:w="60"/>
        <w:gridCol w:w="230"/>
        <w:gridCol w:w="797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14d-2(b) under the Exchange Act (17 CFR 240.14d-2(b))</w:t>
            </w:r>
          </w:p>
        </w:tc>
      </w:tr>
    </w:tbl>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3215"/>
        <w:gridCol w:w="60"/>
        <w:gridCol w:w="551"/>
        <w:gridCol w:w="68"/>
        <w:gridCol w:w="2480"/>
      </w:tblGrid>
      <w:tr>
        <w:trPr/>
        <w:tc>
          <w:tcPr>
            <w:tcW w:w="32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Trading</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Name of each exchange</w:t>
            </w:r>
          </w:p>
        </w:tc>
      </w:tr>
      <w:tr>
        <w:trPr/>
        <w:tc>
          <w:tcPr>
            <w:tcW w:w="32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Title of each class</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Symbol(s)</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on which registered</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Class A common stock, $0.0001 par value</w:t>
            </w:r>
          </w:p>
        </w:tc>
        <w:tc>
          <w:tcPr>
            <w:tcW w:w="60"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BIRD</w:t>
            </w:r>
          </w:p>
        </w:tc>
        <w:tc>
          <w:tcPr>
            <w:tcW w:w="68" w:type="dxa"/>
            <w:tcBorders/>
            <w:vAlign w:val="center"/>
          </w:tcPr>
          <w:p>
            <w:pPr>
              <w:pStyle w:val="TableContents"/>
              <w:bidi w:val="0"/>
              <w:spacing w:before="0" w:after="0"/>
              <w:ind w:left="0" w:right="0" w:hanging="0"/>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The Nasdaq</w:t>
            </w:r>
            <w:r>
              <w:rPr>
                <w:rFonts w:ascii="Times New Roman" w:hAnsi="Times New Roman"/>
                <w:caps w:val="false"/>
                <w:smallCaps w:val="false"/>
                <w:sz w:val="20"/>
              </w:rPr>
              <w:t> </w:t>
            </w:r>
            <w:r>
              <w:rPr>
                <w:rFonts w:ascii="Times New Roman" w:hAnsi="Times New Roman"/>
                <w:b/>
                <w:caps w:val="false"/>
                <w:smallCaps w:val="false"/>
                <w:sz w:val="18"/>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Emerging growth company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18"/>
        </w:rPr>
        <w:t>Item 4.01 Changes in Registrant</w:t>
      </w:r>
      <w:r>
        <w:rPr>
          <w:rFonts w:ascii="Times New Roman" w:hAnsi="Times New Roman"/>
          <w:caps w:val="false"/>
          <w:smallCaps w:val="false"/>
          <w:sz w:val="18"/>
        </w:rPr>
        <w:t>’</w:t>
      </w:r>
      <w:r>
        <w:rPr>
          <w:rFonts w:ascii="Times New Roman" w:hAnsi="Times New Roman"/>
          <w:b/>
          <w:caps w:val="false"/>
          <w:smallCaps w:val="false"/>
          <w:sz w:val="18"/>
        </w:rPr>
        <w:t>s Certifying Accountant.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230"/>
        <w:gridCol w:w="437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(a)</w:t>
            </w:r>
          </w:p>
        </w:tc>
        <w:tc>
          <w:tcPr>
            <w:tcW w:w="4370" w:type="dxa"/>
            <w:tcBorders/>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Dismissal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On July 28, 2026, the Audit Committee of the Board of Directors of Smartbird, Inc. (the “Company”) dismissed Deloitte &amp; Touche LLP (“Deloitte”) as the Company’s independent registered public accounting firm.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The audit reports of Deloitte on the consolidated financial statements of the Company for each of the two most recent fiscal years ended December 31, 2025 and 2024 did not contain an adverse opinion or a disclaimer of opinion and were not qualified or modified as to uncertainty, audit scope or accounting principles.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During the Company’s two most recent fiscal years and subsequent interim period from January 1, 2026 to July 28, 2026 (i) there were no disagreements with Deloitte on any matter of accounting principles or practices, financial statement disclosure or auditing scope or procedures that, if not resolved to Deloitte’s satisfaction, would have caused Deloitte to make reference to the subject matter of such disagreements in their reports on the Company’s consolidated financial statements for such years, and (ii) there were no “reportable events” as defined in Item 304(a)(1)(v) of Regulation 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The Company provided Deloitte with a copy of the disclosures it is making in this Form 8-K and requested that Deloitte furnish the Company with a letter addressed to the Securities and Exchange Commission stating whether or not Deloitte agrees with the statements made herein. A copy of Deloitte’s letter dated July 28, 2026 is filed as Exhibit 16.1 hereto.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230"/>
        <w:gridCol w:w="453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(b)</w:t>
            </w:r>
          </w:p>
        </w:tc>
        <w:tc>
          <w:tcPr>
            <w:tcW w:w="4535" w:type="dxa"/>
            <w:tcBorders/>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Engagement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On July 28, 2026, following a competitive request-for-proposal process, the Audit Committee of the Board of Directors approved the engagement of BPM LLP (“BPM”) as the Company’s independent registered public accounting firm for the fiscal year ending December 31,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During the Company’s two most recent fiscal years ended December 31, 2025 and 2024 and subsequent interim period from January 1, 2026 to July 28, 2026, neither the Company nor anyone on its behalf consulted BPM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BPM concluded was an important factor considered by the Company in reaching a decision as to any accounting, auditing or financial reporting issue, or (ii) any matter that was either the subject of a “disagreement,” as that term is defined in Item 304(a)(1)(iv) of Regulation S-K, or a “reportable event,” as that term is defined in Item 304(a)(1)(v) of Regulation 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32" w:type="dxa"/>
        <w:jc w:val="left"/>
        <w:tblInd w:w="0" w:type="dxa"/>
        <w:tblLayout w:type="fixed"/>
        <w:tblCellMar>
          <w:top w:w="28" w:type="dxa"/>
          <w:left w:w="28" w:type="dxa"/>
          <w:bottom w:w="28" w:type="dxa"/>
          <w:right w:w="28" w:type="dxa"/>
        </w:tblCellMar>
      </w:tblPr>
      <w:tblGrid>
        <w:gridCol w:w="841"/>
        <w:gridCol w:w="2791"/>
      </w:tblGrid>
      <w:tr>
        <w:trPr/>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Item</w:t>
            </w:r>
            <w:r>
              <w:rPr>
                <w:rFonts w:ascii="Times New Roman" w:hAnsi="Times New Roman"/>
                <w:caps w:val="false"/>
                <w:smallCaps w:val="false"/>
                <w:sz w:val="18"/>
              </w:rPr>
              <w:t> </w:t>
            </w:r>
            <w:r>
              <w:rPr>
                <w:rFonts w:ascii="Times New Roman" w:hAnsi="Times New Roman"/>
                <w:b/>
                <w:caps w:val="false"/>
                <w:smallCaps w:val="false"/>
                <w:sz w:val="18"/>
              </w:rPr>
              <w:t>9.01</w:t>
            </w:r>
          </w:p>
        </w:tc>
        <w:tc>
          <w:tcPr>
            <w:tcW w:w="2791"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Statements and Exhibits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530"/>
        <w:gridCol w:w="60"/>
        <w:gridCol w:w="5660"/>
      </w:tblGrid>
      <w:tr>
        <w:trPr/>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Exhibit</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Description</w:t>
            </w:r>
          </w:p>
        </w:tc>
      </w:tr>
      <w:tr>
        <w:trPr/>
        <w:tc>
          <w:tcPr>
            <w:tcW w:w="53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pPr>
            <w:r>
              <w:rPr/>
              <w:t> </w:t>
            </w:r>
          </w:p>
        </w:tc>
      </w:tr>
      <w:tr>
        <w:trPr/>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16.1</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pPr>
            <w:hyperlink w:anchor="ex_994540.htm">
              <w:r>
                <w:rPr>
                  <w:rStyle w:val="InternetLink"/>
                  <w:rFonts w:ascii="Times New Roman" w:hAnsi="Times New Roman"/>
                  <w:caps w:val="false"/>
                  <w:smallCaps w:val="false"/>
                  <w:sz w:val="18"/>
                </w:rPr>
                <w:t>Letter of Deloitte &amp; Touche LLP, dated July 29, 2026</w:t>
              </w:r>
            </w:hyperlink>
          </w:p>
        </w:tc>
      </w:tr>
      <w:tr>
        <w:trPr/>
        <w:tc>
          <w:tcPr>
            <w:tcW w:w="53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104</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Pursuant to the requirements of the Securities Exchange Act of 1934, as amended, the Registrant has duly caused this report to be signed on its behalf by the undersigned hereunto duly authorized.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3540" w:type="dxa"/>
        <w:jc w:val="left"/>
        <w:tblInd w:w="0" w:type="dxa"/>
        <w:tblLayout w:type="fixed"/>
        <w:tblCellMar>
          <w:top w:w="0" w:type="dxa"/>
          <w:left w:w="0" w:type="dxa"/>
          <w:bottom w:w="0" w:type="dxa"/>
          <w:right w:w="0" w:type="dxa"/>
        </w:tblCellMar>
      </w:tblPr>
      <w:tblGrid>
        <w:gridCol w:w="1505"/>
        <w:gridCol w:w="275"/>
        <w:gridCol w:w="1700"/>
        <w:gridCol w:w="60"/>
      </w:tblGrid>
      <w:tr>
        <w:trPr/>
        <w:tc>
          <w:tcPr>
            <w:tcW w:w="1505" w:type="dxa"/>
            <w:tcBorders/>
            <w:vAlign w:val="center"/>
          </w:tcPr>
          <w:p>
            <w:pPr>
              <w:pStyle w:val="TableContents"/>
              <w:bidi w:val="0"/>
              <w:spacing w:before="0" w:after="0"/>
              <w:ind w:left="0" w:right="0" w:hanging="0"/>
              <w:jc w:val="left"/>
              <w:rPr/>
            </w:pPr>
            <w:r>
              <w:rPr/>
              <w:t> </w:t>
            </w:r>
          </w:p>
        </w:tc>
        <w:tc>
          <w:tcPr>
            <w:tcW w:w="1975" w:type="dxa"/>
            <w:gridSpan w:val="2"/>
            <w:tcBorders/>
          </w:tcPr>
          <w:p>
            <w:pPr>
              <w:pStyle w:val="TableContents"/>
              <w:bidi w:val="0"/>
              <w:spacing w:before="0" w:after="0"/>
              <w:jc w:val="left"/>
              <w:rPr>
                <w:rFonts w:ascii="Times New Roman" w:hAnsi="Times New Roman"/>
                <w:b/>
                <w:sz w:val="18"/>
              </w:rPr>
            </w:pPr>
            <w:r>
              <w:rPr>
                <w:rFonts w:ascii="Times New Roman" w:hAnsi="Times New Roman"/>
                <w:b/>
                <w:sz w:val="18"/>
              </w:rPr>
              <w:t>Smartbird, Inc.</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Dated: July 29, 2026</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275" w:type="dxa"/>
            <w:tcBorders/>
          </w:tcPr>
          <w:p>
            <w:pPr>
              <w:pStyle w:val="TableContents"/>
              <w:bidi w:val="0"/>
              <w:spacing w:before="0" w:after="0"/>
              <w:jc w:val="left"/>
              <w:rPr>
                <w:rFonts w:ascii="Times New Roman" w:hAnsi="Times New Roman"/>
                <w:sz w:val="18"/>
              </w:rPr>
            </w:pPr>
            <w:r>
              <w:rPr>
                <w:rFonts w:ascii="Times New Roman" w:hAnsi="Times New Roman"/>
                <w:sz w:val="18"/>
              </w:rPr>
              <w:t>By:</w:t>
            </w:r>
          </w:p>
        </w:tc>
        <w:tc>
          <w:tcPr>
            <w:tcW w:w="170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/s/ Nadia Carlsten</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Nadia Carlsten</w:t>
            </w:r>
          </w:p>
        </w:tc>
        <w:tc>
          <w:tcPr>
            <w:tcW w:w="6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994540.htm"/>
      <w:bookmarkStart w:id="5" w:name="ksex_994540"/>
      <w:bookmarkEnd w:id="4"/>
      <w:bookmarkEnd w:id="5"/>
      <w:r>
        <w:rPr>
          <w:rFonts w:ascii="Times New Roman;Times;serif" w:hAnsi="Times New Roman;Times;serif"/>
          <w:b/>
          <w:sz w:val="20"/>
        </w:rPr>
        <w:t>Exhibit 16.1</w:t>
      </w:r>
      <w:r>
        <w:br w:type="page"/>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July 29,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Securities and Exchange Commission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100 F Street, N.E.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Washington, D.C. 20549-7561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Dear Sirs/Madams: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read Item 4.01 of Smartbird, Inc.’s Form 8-K dated July 29, 2026, and have the following comments: </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agree with the statements made in the paragraphs one through four of Item 4.01(a).</w:t>
            </w:r>
          </w:p>
        </w:tc>
      </w:tr>
    </w:tbl>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no basis on which to agree or disagree with other statements made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Yours truly,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Deloitte &amp; Touche LLP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912</Words>
  <Characters>4916</Characters>
  <CharactersWithSpaces>5861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