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4786ddef14a.htm"/>
        <w:bookmarkStart w:id="1" w:name="ksd174786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245"/>
        <w:gridCol w:w="2735"/>
      </w:tblGrid>
      <w:tr>
        <w:trPr/>
        <w:tc>
          <w:tcPr>
            <w:tcW w:w="245"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Smartbird,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w:t>
            </w:r>
          </w:p>
          <w:p>
            <w:pPr>
              <w:pStyle w:val="TableContents"/>
              <w:bidi w:val="0"/>
              <w:spacing w:before="0" w:after="0"/>
              <w:jc w:val="left"/>
              <w:rPr>
                <w:rFonts w:ascii="Times New Roman" w:hAnsi="Times New Roman"/>
                <w:sz w:val="20"/>
              </w:rPr>
            </w:pPr>
            <w:r>
              <w:rPr>
                <w:rFonts w:ascii="Times New Roman" w:hAnsi="Times New Roman"/>
                <w:sz w:val="20"/>
              </w:rPr>
              <w:t>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750185" cy="58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0185" cy="584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Smartbird, Inc. </w:t>
      </w:r>
    </w:p>
    <w:p>
      <w:pPr>
        <w:pStyle w:val="TextBody"/>
        <w:bidi w:val="0"/>
        <w:spacing w:before="0" w:after="0"/>
        <w:jc w:val="center"/>
        <w:rPr>
          <w:rFonts w:ascii="Times New Roman" w:hAnsi="Times New Roman"/>
          <w:b/>
          <w:sz w:val="20"/>
        </w:rPr>
      </w:pPr>
      <w:r>
        <w:rPr>
          <w:rFonts w:ascii="Times New Roman" w:hAnsi="Times New Roman"/>
          <w:b/>
          <w:sz w:val="20"/>
        </w:rPr>
        <w:t xml:space="preserve">425 Page Mill Road </w:t>
      </w:r>
    </w:p>
    <w:p>
      <w:pPr>
        <w:pStyle w:val="TextBody"/>
        <w:bidi w:val="0"/>
        <w:spacing w:before="0" w:after="0"/>
        <w:jc w:val="center"/>
        <w:rPr>
          <w:rFonts w:ascii="Times New Roman" w:hAnsi="Times New Roman"/>
          <w:b/>
          <w:sz w:val="20"/>
        </w:rPr>
      </w:pPr>
      <w:r>
        <w:rPr>
          <w:rFonts w:ascii="Times New Roman" w:hAnsi="Times New Roman"/>
          <w:b/>
          <w:sz w:val="20"/>
        </w:rPr>
        <w:t xml:space="preserve">Suite 200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 94306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VIRTUALLY ON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We cordially invite you to virtually attend the Annual Meeting of Stockholders of Smartbird, Inc., a Delaware corporation (the “Company”), formerly known as Allbirds, Inc. The meeting will be held on Wednesday, September 30, 2026 at 12:00 p.m. Pacific Time through a live audio-only webcast at </w:t>
      </w:r>
      <w:r>
        <w:rPr>
          <w:rFonts w:ascii="Times New Roman" w:hAnsi="Times New Roman"/>
          <w:i/>
          <w:sz w:val="20"/>
        </w:rPr>
        <w:t>www.virtualshareholdermeeting.com/BIRD2026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holding the Annual Meeting for the following purposes, which are more fully described in the accompanying materials: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Class II directors listed in the accompanying Proxy Statement to hold office until the 2029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2021 Equity Incentive Plan to increase the number of shares authorized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for purposes of complying with Nasdaq Listing Rule 5635(d), the issuance of shares of our Class A common stock representing more than 19.99% upon the conversion of certain Convertible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selection by the Audit Committee of the Board of Directors of BPM LLP as the Company’s independent registered public accounting firm for the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Annual Meeting from time to time, if necessary, to solicit additional proxies in the event that there are insufficient shares present virtually or represented by proxy voting in favor of the proposals presented at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any other business properly brought before the meeting or any adjournments, continuations,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elected to provide Internet access to our proxy materials, which include the proxy statement for our Annual Meeting (the “Proxy Statement”) accompanying this notice, in lieu of mailing printed copies. Providing our Annual Meeting materials via the Internet reduces the costs associated with our Annual Meeting and lowers our environmental impact, all without negatively affecting our stockholders’ ability to timely access Annual Meeting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On or about August 20, 2026, we expect to mail to our stockholders a Notice of Internet Availability of Proxy Materials (the “Notice”) containing instructions on how to access the Proxy Statement and our Annual Report on Form 10-K for the year ended December 31, 2025 (the “2025 Annual Report”). The Notice provides instructions on how to vote online and includes instructions on how to receive a paper copy of proxy materials by mail. The Proxy Statement and our 2025 Annual Report can be accessed directly at </w:t>
      </w:r>
      <w:r>
        <w:rPr>
          <w:rFonts w:ascii="Times New Roman" w:hAnsi="Times New Roman"/>
          <w:i/>
          <w:sz w:val="20"/>
        </w:rPr>
        <w:t>www.proxyvote.com</w:t>
      </w:r>
      <w:r>
        <w:rPr>
          <w:rFonts w:ascii="Times New Roman" w:hAnsi="Times New Roman"/>
          <w:sz w:val="20"/>
        </w:rPr>
        <w:t xml:space="preserve"> using the control number located on the Notice, on your proxy card, or in the instructions that accompanied your proxy materials.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has fixed August 6, 2026 as the record date (the “Record Date”) for this year’s Annual Meeting. Only stockholders of record at the close of business on the Record Date are entitled to notice of and to vote during the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Whether or not you plan to virtually attend the Annual Meeting, please ensure that your shares are voted during the Annual Meeting by promptly signing and returning a proxy card if you requested a printed set of proxy materials or by using our Internet or telephonic voting system. Even if you have voted by proxy, you may still vote online if you attend the Annual Meeting. Please note, however, that if your shares are held on your behalf by a brokerage firm, bank, or other agent and you wish to vote at the Annual Meeting, you may need to obtain a proxy issued in your name from that record holder. Please contact your broker, bank, or other agent for information about specific requirements if you would like to vote your shares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of Smartbird, we thank you for your continued support and look forward to seeing you at the Annual Meeting. </w:t>
      </w:r>
    </w:p>
    <w:p>
      <w:pPr>
        <w:pStyle w:val="TextBody"/>
        <w:bidi w:val="0"/>
        <w:spacing w:before="0" w:after="0"/>
        <w:jc w:val="left"/>
        <w:rPr/>
      </w:pPr>
      <w:r>
        <w:rPr/>
        <w:t> </w:t>
      </w:r>
    </w:p>
    <w:tbl>
      <w:tblPr>
        <w:tblW w:w="4653" w:type="dxa"/>
        <w:jc w:val="left"/>
        <w:tblInd w:w="0" w:type="dxa"/>
        <w:tblLayout w:type="fixed"/>
        <w:tblCellMar>
          <w:top w:w="0" w:type="dxa"/>
          <w:left w:w="0" w:type="dxa"/>
          <w:bottom w:w="0" w:type="dxa"/>
          <w:right w:w="0" w:type="dxa"/>
        </w:tblCellMar>
      </w:tblPr>
      <w:tblGrid>
        <w:gridCol w:w="1781"/>
        <w:gridCol w:w="1078"/>
        <w:gridCol w:w="1794"/>
      </w:tblGrid>
      <w:tr>
        <w:trPr/>
        <w:tc>
          <w:tcPr>
            <w:tcW w:w="178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pPr>
            <w:r>
              <w:rPr/>
              <w:t>Sincerely,</w:t>
            </w:r>
          </w:p>
        </w:tc>
      </w:tr>
      <w:tr>
        <w:trPr/>
        <w:tc>
          <w:tcPr>
            <w:tcW w:w="4653"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Nadia Carlsten</w:t>
            </w:r>
          </w:p>
        </w:tc>
      </w:tr>
      <w:tr>
        <w:trPr/>
        <w:tc>
          <w:tcPr>
            <w:tcW w:w="4653" w:type="dxa"/>
            <w:gridSpan w:val="3"/>
            <w:tcBorders/>
            <w:vAlign w:val="center"/>
          </w:tcPr>
          <w:p>
            <w:pPr>
              <w:pStyle w:val="TableContents"/>
              <w:bidi w:val="0"/>
              <w:spacing w:before="0" w:after="283"/>
              <w:jc w:val="left"/>
              <w:rPr/>
            </w:pPr>
            <w:r>
              <w:rPr/>
              <w:t>Nadia Carlsten</w:t>
            </w:r>
          </w:p>
        </w:tc>
      </w:tr>
      <w:tr>
        <w:trPr/>
        <w:tc>
          <w:tcPr>
            <w:tcW w:w="4653" w:type="dxa"/>
            <w:gridSpan w:val="3"/>
            <w:tcBorders/>
            <w:vAlign w:val="center"/>
          </w:tcPr>
          <w:p>
            <w:pPr>
              <w:pStyle w:val="TableContents"/>
              <w:bidi w:val="0"/>
              <w:spacing w:before="0" w:after="283"/>
              <w:jc w:val="left"/>
              <w:rPr/>
            </w:pPr>
            <w:r>
              <w:rPr/>
              <w:t>President, Chief Executive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Palo Alto,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10, 2026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Stockholders’ Meeting to Be Held on Wednesday, September 30, 2026 at 12:00 p.m. Pacific Time. </w:t>
      </w:r>
    </w:p>
    <w:p>
      <w:pPr>
        <w:pStyle w:val="TextBody"/>
        <w:bidi w:val="0"/>
        <w:spacing w:before="240" w:after="0"/>
        <w:jc w:val="center"/>
        <w:rPr>
          <w:rFonts w:ascii="Times New Roman" w:hAnsi="Times New Roman"/>
          <w:sz w:val="20"/>
        </w:rPr>
      </w:pPr>
      <w:r>
        <w:rPr>
          <w:rFonts w:ascii="Times New Roman" w:hAnsi="Times New Roman"/>
          <w:sz w:val="20"/>
        </w:rPr>
        <w:t xml:space="preserve">The Proxy Statement and 2025 Annual Report </w:t>
      </w:r>
    </w:p>
    <w:p>
      <w:pPr>
        <w:pStyle w:val="TextBody"/>
        <w:pBdr/>
        <w:bidi w:val="0"/>
        <w:spacing w:before="0" w:after="0"/>
        <w:jc w:val="center"/>
        <w:rPr>
          <w:rFonts w:ascii="Times New Roman" w:hAnsi="Times New Roman"/>
          <w:sz w:val="20"/>
        </w:rPr>
      </w:pPr>
      <w:r>
        <w:rPr>
          <w:rFonts w:ascii="Times New Roman" w:hAnsi="Times New Roman"/>
          <w:sz w:val="20"/>
        </w:rPr>
        <w:t xml:space="preserve">are available at </w:t>
      </w:r>
      <w:r>
        <w:rPr>
          <w:rFonts w:ascii="Times New Roman" w:hAnsi="Times New Roman"/>
          <w:i/>
          <w:sz w:val="20"/>
        </w:rPr>
        <w:t>www.proxyvote.com</w:t>
      </w:r>
      <w:r>
        <w:rPr>
          <w:rFonts w:ascii="Times New Roman" w:hAnsi="Times New Roman"/>
          <w:sz w:val="20"/>
        </w:rP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750185" cy="584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50185" cy="584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Smartbird, Inc. </w:t>
      </w:r>
    </w:p>
    <w:p>
      <w:pPr>
        <w:pStyle w:val="TextBody"/>
        <w:bidi w:val="0"/>
        <w:spacing w:before="0" w:after="0"/>
        <w:jc w:val="center"/>
        <w:rPr>
          <w:rFonts w:ascii="Times New Roman" w:hAnsi="Times New Roman"/>
          <w:b/>
          <w:sz w:val="20"/>
        </w:rPr>
      </w:pPr>
      <w:r>
        <w:rPr>
          <w:rFonts w:ascii="Times New Roman" w:hAnsi="Times New Roman"/>
          <w:b/>
          <w:sz w:val="20"/>
        </w:rPr>
        <w:t xml:space="preserve">425 Page Mill Road </w:t>
      </w:r>
    </w:p>
    <w:p>
      <w:pPr>
        <w:pStyle w:val="TextBody"/>
        <w:bidi w:val="0"/>
        <w:spacing w:before="0" w:after="0"/>
        <w:jc w:val="center"/>
        <w:rPr>
          <w:rFonts w:ascii="Times New Roman" w:hAnsi="Times New Roman"/>
          <w:b/>
          <w:sz w:val="20"/>
        </w:rPr>
      </w:pPr>
      <w:r>
        <w:rPr>
          <w:rFonts w:ascii="Times New Roman" w:hAnsi="Times New Roman"/>
          <w:b/>
          <w:sz w:val="20"/>
        </w:rPr>
        <w:t xml:space="preserve">Suite 200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 94306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2026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30, 2026 </w:t>
      </w:r>
    </w:p>
    <w:p>
      <w:pPr>
        <w:pStyle w:val="TextBody"/>
        <w:bidi w:val="0"/>
        <w:spacing w:before="240" w:after="0"/>
        <w:jc w:val="center"/>
        <w:rPr>
          <w:rFonts w:ascii="Times New Roman" w:hAnsi="Times New Roman"/>
          <w:b/>
          <w:sz w:val="20"/>
        </w:rPr>
      </w:pPr>
      <w:r>
        <w:rPr>
          <w:rFonts w:ascii="Times New Roman" w:hAnsi="Times New Roman"/>
          <w:b/>
          <w:sz w:val="20"/>
        </w:rPr>
        <w:t xml:space="preserve">MEETING AGENDA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36"/>
        <w:gridCol w:w="60"/>
        <w:gridCol w:w="515"/>
        <w:gridCol w:w="120"/>
        <w:gridCol w:w="3261"/>
        <w:gridCol w:w="60"/>
        <w:gridCol w:w="1753"/>
      </w:tblGrid>
      <w:tr>
        <w:trPr/>
        <w:tc>
          <w:tcPr>
            <w:tcW w:w="4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443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Proposals</w:t>
            </w:r>
          </w:p>
        </w:tc>
        <w:tc>
          <w:tcPr>
            <w:tcW w:w="6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120" w:type="dxa"/>
            <w:tcBorders/>
            <w:vAlign w:val="center"/>
          </w:tcPr>
          <w:p>
            <w:pPr>
              <w:pStyle w:val="TableContents"/>
              <w:bidi w:val="0"/>
              <w:spacing w:before="0" w:after="283"/>
              <w:jc w:val="left"/>
              <w:rPr/>
            </w:pPr>
            <w:r>
              <w:rPr/>
              <w:t>  </w:t>
            </w:r>
          </w:p>
        </w:tc>
        <w:tc>
          <w:tcPr>
            <w:tcW w:w="326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Voting Standard</w:t>
            </w:r>
          </w:p>
        </w:tc>
        <w:tc>
          <w:tcPr>
            <w:tcW w:w="60" w:type="dxa"/>
            <w:tcBorders/>
            <w:vAlign w:val="center"/>
          </w:tcPr>
          <w:p>
            <w:pPr>
              <w:pStyle w:val="TableContents"/>
              <w:bidi w:val="0"/>
              <w:spacing w:before="0" w:after="283"/>
              <w:jc w:val="left"/>
              <w:rPr/>
            </w:pPr>
            <w:r>
              <w:rPr/>
              <w:t> </w:t>
            </w:r>
          </w:p>
        </w:tc>
        <w:tc>
          <w:tcPr>
            <w:tcW w:w="175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w:t>
              <w:br/>
              <w:t>Recommendation</w:t>
            </w:r>
          </w:p>
        </w:tc>
      </w:tr>
      <w:tr>
        <w:trPr/>
        <w:tc>
          <w:tcPr>
            <w:tcW w:w="4436" w:type="dxa"/>
            <w:tcBorders/>
            <w:vAlign w:val="center"/>
          </w:tcPr>
          <w:p>
            <w:pPr>
              <w:pStyle w:val="TableContents"/>
              <w:bidi w:val="0"/>
              <w:spacing w:before="0" w:after="283"/>
              <w:jc w:val="left"/>
              <w:rPr/>
            </w:pPr>
            <w:r>
              <w:rPr/>
              <w:t>Election of the Class II Directors listed in the accompanying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8</w:t>
            </w:r>
          </w:p>
        </w:tc>
        <w:tc>
          <w:tcPr>
            <w:tcW w:w="120" w:type="dxa"/>
            <w:tcBorders/>
            <w:vAlign w:val="center"/>
          </w:tcPr>
          <w:p>
            <w:pPr>
              <w:pStyle w:val="TableContents"/>
              <w:bidi w:val="0"/>
              <w:spacing w:before="0" w:after="283"/>
              <w:jc w:val="left"/>
              <w:rPr/>
            </w:pPr>
            <w:r>
              <w:rPr/>
              <w:t>  </w:t>
            </w:r>
          </w:p>
        </w:tc>
        <w:tc>
          <w:tcPr>
            <w:tcW w:w="3261" w:type="dxa"/>
            <w:tcBorders/>
            <w:vAlign w:val="center"/>
          </w:tcPr>
          <w:p>
            <w:pPr>
              <w:pStyle w:val="TableContents"/>
              <w:bidi w:val="0"/>
              <w:spacing w:before="0" w:after="283"/>
              <w:jc w:val="left"/>
              <w:rPr/>
            </w:pPr>
            <w:r>
              <w:rPr/>
              <w:t>Plurality</w:t>
            </w:r>
          </w:p>
        </w:tc>
        <w:tc>
          <w:tcPr>
            <w:tcW w:w="6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left"/>
              <w:rPr/>
            </w:pPr>
            <w:r>
              <w:rPr/>
              <w:t>For each director nominee</w:t>
            </w:r>
          </w:p>
        </w:tc>
      </w:tr>
      <w:tr>
        <w:trPr/>
        <w:tc>
          <w:tcPr>
            <w:tcW w:w="4436"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4436" w:type="dxa"/>
            <w:tcBorders/>
            <w:vAlign w:val="center"/>
          </w:tcPr>
          <w:p>
            <w:pPr>
              <w:pStyle w:val="TableContents"/>
              <w:bidi w:val="0"/>
              <w:spacing w:before="0" w:after="283"/>
              <w:jc w:val="left"/>
              <w:rPr/>
            </w:pPr>
            <w:r>
              <w:rPr/>
              <w:t>Approval of an amendment to the Company’s 2021 Equity Incentive Plan to increase the number of shares authorized for issuance under the plan</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3261" w:type="dxa"/>
            <w:tcBorders/>
            <w:vAlign w:val="center"/>
          </w:tcPr>
          <w:p>
            <w:pPr>
              <w:pStyle w:val="TableContents"/>
              <w:bidi w:val="0"/>
              <w:spacing w:before="0" w:after="283"/>
              <w:jc w:val="left"/>
              <w:rPr/>
            </w:pPr>
            <w:r>
              <w:rPr/>
              <w:t>Majority of the voting power of the shares present virtually or represented by proxy and voting affirmatively or negatively (excluding abstentions and broker non-votes) on the matter</w:t>
            </w:r>
          </w:p>
        </w:tc>
        <w:tc>
          <w:tcPr>
            <w:tcW w:w="6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left"/>
              <w:rPr/>
            </w:pPr>
            <w:r>
              <w:rPr/>
              <w:t>For</w:t>
            </w:r>
          </w:p>
        </w:tc>
      </w:tr>
      <w:tr>
        <w:trPr/>
        <w:tc>
          <w:tcPr>
            <w:tcW w:w="4436"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4436" w:type="dxa"/>
            <w:tcBorders/>
            <w:vAlign w:val="center"/>
          </w:tcPr>
          <w:p>
            <w:pPr>
              <w:pStyle w:val="TableContents"/>
              <w:bidi w:val="0"/>
              <w:spacing w:before="0" w:after="283"/>
              <w:jc w:val="left"/>
              <w:rPr/>
            </w:pPr>
            <w:r>
              <w:rPr/>
              <w:t>Approval, for purposes of complying with Nasdaq Listing Rule 5635(d), of the issuance of shares of our Class A common stock representing more than 19.99% upon the conversion of certain Convertible Notes</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3261" w:type="dxa"/>
            <w:tcBorders/>
            <w:vAlign w:val="center"/>
          </w:tcPr>
          <w:p>
            <w:pPr>
              <w:pStyle w:val="TableContents"/>
              <w:bidi w:val="0"/>
              <w:spacing w:before="0" w:after="283"/>
              <w:jc w:val="left"/>
              <w:rPr/>
            </w:pPr>
            <w:r>
              <w:rPr/>
              <w:t>Majority of the voting power of the shares present virtually or represented by proxy and voting affirmatively or negatively (excluding abstentions and broker non-votes) on the matter</w:t>
            </w:r>
          </w:p>
        </w:tc>
        <w:tc>
          <w:tcPr>
            <w:tcW w:w="6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left"/>
              <w:rPr/>
            </w:pPr>
            <w:r>
              <w:rPr/>
              <w:t>For</w:t>
            </w:r>
          </w:p>
        </w:tc>
      </w:tr>
      <w:tr>
        <w:trPr/>
        <w:tc>
          <w:tcPr>
            <w:tcW w:w="4436"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4436" w:type="dxa"/>
            <w:tcBorders/>
            <w:vAlign w:val="center"/>
          </w:tcPr>
          <w:p>
            <w:pPr>
              <w:pStyle w:val="TableContents"/>
              <w:bidi w:val="0"/>
              <w:spacing w:before="0" w:after="283"/>
              <w:jc w:val="left"/>
              <w:rPr/>
            </w:pPr>
            <w:r>
              <w:rPr/>
              <w:t>Ratification of the selection of BPM LLP as the Company’s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39</w:t>
            </w:r>
          </w:p>
        </w:tc>
        <w:tc>
          <w:tcPr>
            <w:tcW w:w="120" w:type="dxa"/>
            <w:tcBorders/>
            <w:vAlign w:val="center"/>
          </w:tcPr>
          <w:p>
            <w:pPr>
              <w:pStyle w:val="TableContents"/>
              <w:bidi w:val="0"/>
              <w:spacing w:before="0" w:after="283"/>
              <w:jc w:val="left"/>
              <w:rPr/>
            </w:pPr>
            <w:r>
              <w:rPr/>
              <w:t>  </w:t>
            </w:r>
          </w:p>
        </w:tc>
        <w:tc>
          <w:tcPr>
            <w:tcW w:w="3261" w:type="dxa"/>
            <w:tcBorders/>
            <w:vAlign w:val="center"/>
          </w:tcPr>
          <w:p>
            <w:pPr>
              <w:pStyle w:val="TableContents"/>
              <w:bidi w:val="0"/>
              <w:spacing w:before="0" w:after="283"/>
              <w:jc w:val="left"/>
              <w:rPr/>
            </w:pPr>
            <w:r>
              <w:rPr/>
              <w:t>Majority of the voting power of the shares present virtually or represented by proxy and voting affirmatively or negatively (excluding abstentions and broker non-votes) on the matter</w:t>
            </w:r>
          </w:p>
        </w:tc>
        <w:tc>
          <w:tcPr>
            <w:tcW w:w="6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left"/>
              <w:rPr/>
            </w:pPr>
            <w:r>
              <w:rPr/>
              <w:t>For</w:t>
            </w:r>
          </w:p>
        </w:tc>
      </w:tr>
      <w:tr>
        <w:trPr/>
        <w:tc>
          <w:tcPr>
            <w:tcW w:w="4436"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4436" w:type="dxa"/>
            <w:tcBorders/>
            <w:vAlign w:val="center"/>
          </w:tcPr>
          <w:p>
            <w:pPr>
              <w:pStyle w:val="TableContents"/>
              <w:bidi w:val="0"/>
              <w:spacing w:before="0" w:after="283"/>
              <w:jc w:val="left"/>
              <w:rPr/>
            </w:pPr>
            <w:r>
              <w:rPr/>
              <w:t>Approval of one or more adjournments of the Annual Meeting from time to time, if necessary, to solicit additional proxies in the event that there are insufficient shares present virtually or represented by proxy voting in favor of the proposals presented at the meeting</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3261" w:type="dxa"/>
            <w:tcBorders/>
            <w:vAlign w:val="center"/>
          </w:tcPr>
          <w:p>
            <w:pPr>
              <w:pStyle w:val="TableContents"/>
              <w:bidi w:val="0"/>
              <w:spacing w:before="0" w:after="283"/>
              <w:jc w:val="left"/>
              <w:rPr/>
            </w:pPr>
            <w:r>
              <w:rPr/>
              <w:t>Majority of the voting power of the shares present virtually or represented by proxy and voting affirmatively or negatively (excluding abstentions and broker non-votes) on the matter</w:t>
            </w:r>
          </w:p>
        </w:tc>
        <w:tc>
          <w:tcPr>
            <w:tcW w:w="6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left"/>
              <w:rPr/>
            </w:pPr>
            <w:r>
              <w:rPr/>
              <w:t>For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
              <w:r>
                <w:rPr>
                  <w:rStyle w:val="InternetLink"/>
                  <w:rFonts w:ascii="Times New Roman" w:hAnsi="Times New Roman"/>
                  <w:sz w:val="20"/>
                </w:rPr>
                <w:t>QUESTIONS AND ANSWERS ABOUT THESE PROXY MATERIALS AND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3">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4">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5">
              <w:r>
                <w:rPr>
                  <w:rStyle w:val="InternetLink"/>
                  <w:rFonts w:ascii="Times New Roman" w:hAnsi="Times New Roman"/>
                  <w:sz w:val="20"/>
                </w:rPr>
                <w:t>Information About Our 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6">
              <w:r>
                <w:rPr>
                  <w:rStyle w:val="InternetLink"/>
                  <w:rFonts w:ascii="Times New Roman" w:hAnsi="Times New Roman"/>
                  <w:sz w:val="20"/>
                </w:rPr>
                <w:t>INFORMATION REGARDING THE BOARD OF DIRECTORS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7">
              <w:r>
                <w:rPr>
                  <w:rStyle w:val="InternetLink"/>
                  <w:rFonts w:ascii="Times New Roman" w:hAnsi="Times New Roman"/>
                  <w:sz w:val="20"/>
                </w:rPr>
                <w:t>Independence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8">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9">
              <w:r>
                <w:rPr>
                  <w:rStyle w:val="InternetLink"/>
                  <w:rFonts w:ascii="Times New Roman" w:hAnsi="Times New Roman"/>
                  <w:sz w:val="20"/>
                </w:rPr>
                <w:t>Role of the Board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0">
              <w:r>
                <w:rPr>
                  <w:rStyle w:val="InternetLink"/>
                  <w:rFonts w:ascii="Times New Roman" w:hAnsi="Times New Roman"/>
                  <w:sz w:val="20"/>
                </w:rPr>
                <w:t>Meetings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1">
              <w:r>
                <w:rPr>
                  <w:rStyle w:val="InternetLink"/>
                  <w:rFonts w:ascii="Times New Roman" w:hAnsi="Times New Roman"/>
                  <w:sz w:val="20"/>
                </w:rPr>
                <w:t>Information Regarding Committees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2">
              <w:r>
                <w:rPr>
                  <w:rStyle w:val="InternetLink"/>
                  <w:rFonts w:ascii="Times New Roman" w:hAnsi="Times New Roman"/>
                  <w:sz w:val="20"/>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3">
              <w:r>
                <w:rPr>
                  <w:rStyle w:val="InternetLink"/>
                  <w:rFonts w:ascii="Times New Roman" w:hAnsi="Times New Roman"/>
                  <w:sz w:val="20"/>
                </w:rPr>
                <w:t>Management Compensation and Leadership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4">
              <w:r>
                <w:rPr>
                  <w:rStyle w:val="InternetLink"/>
                  <w:rFonts w:ascii="Times New Roman" w:hAnsi="Times New Roman"/>
                  <w:sz w:val="20"/>
                </w:rPr>
                <w:t>Nomination and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5">
              <w:r>
                <w:rPr>
                  <w:rStyle w:val="InternetLink"/>
                  <w:rFonts w:ascii="Times New Roman" w:hAnsi="Times New Roman"/>
                  <w:sz w:val="20"/>
                </w:rPr>
                <w:t>Stockholder Recommendations and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6">
              <w:r>
                <w:rPr>
                  <w:rStyle w:val="InternetLink"/>
                  <w:rFonts w:ascii="Times New Roman" w:hAnsi="Times New Roman"/>
                  <w:sz w:val="20"/>
                </w:rPr>
                <w:t>Stockholder 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7">
              <w:r>
                <w:rPr>
                  <w:rStyle w:val="InternetLink"/>
                  <w:rFonts w:ascii="Times New Roman" w:hAnsi="Times New Roman"/>
                  <w:sz w:val="20"/>
                </w:rPr>
                <w:t>Code of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8">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19">
              <w:r>
                <w:rPr>
                  <w:rStyle w:val="InternetLink"/>
                  <w:rFonts w:ascii="Times New Roman" w:hAnsi="Times New Roman"/>
                  <w:sz w:val="20"/>
                </w:rPr>
                <w:t>Anti-Hedging and Anti-Pledging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0">
              <w:r>
                <w:rPr>
                  <w:rStyle w:val="InternetLink"/>
                  <w:rFonts w:ascii="Times New Roman" w:hAnsi="Times New Roman"/>
                  <w:sz w:val="20"/>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1">
              <w:r>
                <w:rPr>
                  <w:rStyle w:val="InternetLink"/>
                  <w:rFonts w:ascii="Times New Roman" w:hAnsi="Times New Roman"/>
                  <w:sz w:val="20"/>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2">
              <w:r>
                <w:rPr>
                  <w:rStyle w:val="InternetLink"/>
                  <w:rFonts w:ascii="Times New Roman" w:hAnsi="Times New Roman"/>
                  <w:sz w:val="20"/>
                </w:rPr>
                <w:t>PROPOSAL 2: APPROVAL OF AN AMENDMENT TO THE COMPANY’S 2021 EQUITY INCENTIVE PLAN TO INCREASE THE NUMBER OF SHARES AUTHORIZED FOR ISSUANCE UNDER THE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3">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4">
              <w:r>
                <w:rPr>
                  <w:rStyle w:val="InternetLink"/>
                  <w:rFonts w:ascii="Times New Roman" w:hAnsi="Times New Roman"/>
                  <w:sz w:val="20"/>
                </w:rPr>
                <w:t>PROPOSAL 3: APPROVAL, FOR PURPOSES OF COMPLYING WITH NASDAQ LISTING RULE 5635(D), OF THE ISSUANCE OF SHARES OF OUR CLASS A COMMON STOCK REPRESENTING MORE THAN 19.99% UPON THE CONVERSION OF CERTAIN CONVERTIBLE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5">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6">
              <w:r>
                <w:rPr>
                  <w:rStyle w:val="InternetLink"/>
                  <w:rFonts w:ascii="Times New Roman" w:hAnsi="Times New Roman"/>
                  <w:sz w:val="20"/>
                </w:rPr>
                <w:t>PROPOSAL 4: RATIFICATION OF SELECTION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7">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8">
              <w:r>
                <w:rPr>
                  <w:rStyle w:val="InternetLink"/>
                  <w:rFonts w:ascii="Times New Roman" w:hAnsi="Times New Roman"/>
                  <w:sz w:val="20"/>
                </w:rPr>
                <w:t>Independent Registered Public Accounting Firm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29">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74786_30">
              <w:r>
                <w:rPr>
                  <w:rStyle w:val="InternetLink"/>
                  <w:rFonts w:ascii="Times New Roman" w:hAnsi="Times New Roman"/>
                  <w:sz w:val="20"/>
                </w:rPr>
                <w:t>PROPOSAL 5: APPROVAL OF ONE OR MORE ADJOURNMENTS OF THE ANNUAL MEETING FROM TIME TO TIME, IF NECESSARY, TO SOLICIT ADDITIONAL PROXIES IN THE EVENT THAT THERE ARE INSUFFICIENT SHARES PRESENT VIRTUALLY OR REPRESENTED BY PROXY VOTING IN FAVOR OF THE PROPOSALS PRESENTED AT THE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35" w:type="dxa"/>
        <w:jc w:val="left"/>
        <w:tblInd w:w="0" w:type="dxa"/>
        <w:tblLayout w:type="fixed"/>
        <w:tblCellMar>
          <w:top w:w="0" w:type="dxa"/>
          <w:left w:w="0" w:type="dxa"/>
          <w:bottom w:w="0" w:type="dxa"/>
          <w:right w:w="0" w:type="dxa"/>
        </w:tblCellMar>
      </w:tblPr>
      <w:tblGrid>
        <w:gridCol w:w="7220"/>
        <w:gridCol w:w="120"/>
        <w:gridCol w:w="60"/>
        <w:gridCol w:w="260"/>
        <w:gridCol w:w="75"/>
      </w:tblGrid>
      <w:tr>
        <w:trPr/>
        <w:tc>
          <w:tcPr>
            <w:tcW w:w="7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1">
              <w:r>
                <w:rPr>
                  <w:rStyle w:val="InternetLink"/>
                  <w:rFonts w:ascii="Times New Roman" w:hAnsi="Times New Roman"/>
                  <w:sz w:val="20"/>
                </w:rPr>
                <w:t>REPORT OF THE AUDIT COMMITTEE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2">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3">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4">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5">
              <w:r>
                <w:rPr>
                  <w:rStyle w:val="InternetLink"/>
                  <w:rFonts w:ascii="Times New Roman" w:hAnsi="Times New Roman"/>
                  <w:sz w:val="20"/>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6">
              <w:r>
                <w:rPr>
                  <w:rStyle w:val="InternetLink"/>
                  <w:rFonts w:ascii="Times New Roman" w:hAnsi="Times New Roman"/>
                  <w:sz w:val="20"/>
                </w:rPr>
                <w:t>TRANSACTIONS WITH RELATED PERSONS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7">
              <w:r>
                <w:rPr>
                  <w:rStyle w:val="InternetLink"/>
                  <w:rFonts w:ascii="Times New Roman" w:hAnsi="Times New Roman"/>
                  <w:sz w:val="20"/>
                </w:rPr>
                <w:t>Related Person Transactions Policy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8">
              <w:r>
                <w:rPr>
                  <w:rStyle w:val="InternetLink"/>
                  <w:rFonts w:ascii="Times New Roman" w:hAnsi="Times New Roman"/>
                  <w:sz w:val="20"/>
                </w:rPr>
                <w:t>Certain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39">
              <w:r>
                <w:rPr>
                  <w:rStyle w:val="InternetLink"/>
                  <w:rFonts w:ascii="Times New Roman" w:hAnsi="Times New Roman"/>
                  <w:sz w:val="20"/>
                </w:rPr>
                <w:t>Indemnification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40">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7220" w:type="dxa"/>
            <w:tcBorders/>
            <w:vAlign w:val="center"/>
          </w:tcPr>
          <w:p>
            <w:pPr>
              <w:pStyle w:val="TableContents"/>
              <w:bidi w:val="0"/>
              <w:spacing w:before="0" w:after="0"/>
              <w:jc w:val="left"/>
              <w:rPr/>
            </w:pPr>
            <w:hyperlink w:anchor="toc174786_41">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74786_1"/>
      <w:bookmarkEnd w:id="3"/>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you with these proxy materials because the Board of Directors of Smartbird, Inc. (the “Board” or the “Board of Directors”) is soliciting your proxy to vote at the 2026 Annual Meeting of Stockholders (the “Annual Meeting”), including at any adjournments, continuations, or postponements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Annual Report on Form 10-K for the year ended December 31, 2025, are being distributed and made available on or about August 10, 2026. As used in this Proxy Statement, references to “we,” “us,” “our,” “Smartbird,” and the “Company” refer to Smartbird, Inc. (formerly known as Allbirds, Inc.)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 </w:t>
      </w:r>
    </w:p>
    <w:p>
      <w:pPr>
        <w:pStyle w:val="TextBody"/>
        <w:bidi w:val="0"/>
        <w:spacing w:before="360" w:after="0"/>
        <w:jc w:val="left"/>
        <w:rPr>
          <w:rFonts w:ascii="Times New Roman" w:hAnsi="Times New Roman"/>
          <w:b/>
          <w:sz w:val="20"/>
        </w:rPr>
      </w:pPr>
      <w:r>
        <w:rPr>
          <w:rFonts w:ascii="Times New Roman" w:hAnsi="Times New Roman"/>
          <w:b/>
          <w:sz w:val="20"/>
        </w:rPr>
        <w:t xml:space="preserve">Why are you holding a 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Our Annual Meeting will be held solely in a virtual format, which will be conducted via a live audio-only webcast and online stockholder tools. We have created and implemented the virtual format in order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 </w:t>
      </w:r>
    </w:p>
    <w:p>
      <w:pPr>
        <w:pStyle w:val="TextBody"/>
        <w:bidi w:val="0"/>
        <w:spacing w:before="360" w:after="0"/>
        <w:jc w:val="left"/>
        <w:rPr>
          <w:rFonts w:ascii="Times New Roman" w:hAnsi="Times New Roman"/>
          <w:sz w:val="20"/>
        </w:rPr>
      </w:pPr>
      <w:r>
        <w:rPr>
          <w:rFonts w:ascii="Times New Roman" w:hAnsi="Times New Roman"/>
          <w:b/>
          <w:sz w:val="20"/>
        </w:rPr>
        <w:t>Why did I receive</w:t>
      </w:r>
      <w:r>
        <w:rPr>
          <w:rFonts w:ascii="Times New Roman" w:hAnsi="Times New Roman"/>
          <w:sz w:val="20"/>
        </w:rPr>
        <w:t> </w:t>
      </w:r>
      <w:r>
        <w:rPr>
          <w:rFonts w:ascii="Times New Roman" w:hAnsi="Times New Roman"/>
          <w:b/>
          <w:sz w:val="20"/>
        </w:rPr>
        <w:t xml:space="preserve">a notice regarding the availability of proxy materials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adopted by the Securities and Exchange Commission (the “SEC”), we have elected to provide access to our proxy materials over the internet. Accordingly, we have sent you a Notice of Internet Availability of Proxy Materials (the “Notice”) because our Board is soliciting your proxy to vote at the 2026 Annual Meeting of Stockholders, including at any adjournments, continuations,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Notice on or about August 20, 2026 to all stockholders of record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the Annual Meeting only through a live audio-only webcast. You can attend the Annual Meeting live online at </w:t>
      </w:r>
      <w:r>
        <w:rPr>
          <w:rFonts w:ascii="Times New Roman" w:hAnsi="Times New Roman"/>
          <w:i/>
          <w:sz w:val="20"/>
        </w:rPr>
        <w:t xml:space="preserve">www.virtualshareholdermeeting.com/BIRD2026 </w:t>
      </w:r>
      <w:r>
        <w:rPr>
          <w:rFonts w:ascii="Times New Roman" w:hAnsi="Times New Roman"/>
          <w:sz w:val="20"/>
        </w:rPr>
        <w:t xml:space="preserve">by logging on with your control number. The Annual Meeting will start at 12:00 p.m. Pacific Time, on Wednesday, September 30, 2026. Online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check-in will start approximately 15 minutes before the meeting. We recommend that you log in a few minutes before the Annual Meeting to ensure you are logged in when the Annual Meeting begins. To access the meeting, follow the instructions you will receive in subsequent emails you receive after registration. Information on how to vote online during the Annual Meeting is discussed below. You will not be able to attend the Annual Meeting physically in person.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Annual Meeting if you were a stockholder as of the close of business on the Record Date or hold a valid proxy for the meeting. To be admitted to the Annual Meeting, you will need to visit </w:t>
      </w:r>
      <w:r>
        <w:rPr>
          <w:rFonts w:ascii="Times New Roman" w:hAnsi="Times New Roman"/>
          <w:i/>
          <w:sz w:val="20"/>
        </w:rPr>
        <w:t xml:space="preserve">www.virtualshareholdermeeting.com/BIRD2026 </w:t>
      </w:r>
      <w:r>
        <w:rPr>
          <w:rFonts w:ascii="Times New Roman" w:hAnsi="Times New Roman"/>
          <w:sz w:val="20"/>
        </w:rPr>
        <w:t xml:space="preserve">and enter the 16-digit control number found next to the label “Control Number” on your Notice or proxy card if you requested a printed set of proxy materials.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participate in the Annual Meeting, it is important that you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you will be able to login as a guest. To view the meeting webcast visit </w:t>
      </w:r>
      <w:r>
        <w:rPr>
          <w:rFonts w:ascii="Times New Roman" w:hAnsi="Times New Roman"/>
          <w:i/>
          <w:sz w:val="20"/>
        </w:rPr>
        <w:t xml:space="preserve">www.virtualshareholdermeeting.com/BIRD2026 </w:t>
      </w:r>
      <w:r>
        <w:rPr>
          <w:rFonts w:ascii="Times New Roman" w:hAnsi="Times New Roman"/>
          <w:sz w:val="20"/>
        </w:rPr>
        <w:t xml:space="preserve">and register as a guest. If you login as a guest, you will not be able to vote your shares or ask questions during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we get technical 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encounter any difficulties while accessing the virtual meeting during the check-in or meeting time, a technical assistance phone number will be made available on the virtual meeting registration page 15 minutes prior to the start time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 the Annual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you may submit a question in advance of the meeting at </w:t>
      </w:r>
      <w:r>
        <w:rPr>
          <w:rFonts w:ascii="Times New Roman" w:hAnsi="Times New Roman"/>
          <w:i/>
          <w:sz w:val="20"/>
        </w:rPr>
        <w:t>www.proxyvote.com</w:t>
      </w:r>
      <w:r>
        <w:rPr>
          <w:rFonts w:ascii="Times New Roman" w:hAnsi="Times New Roman"/>
          <w:sz w:val="20"/>
        </w:rPr>
        <w:t xml:space="preserve"> after logging in with your control number. Questions may be submitted during the Annual Meeting through </w:t>
      </w:r>
      <w:r>
        <w:rPr>
          <w:rFonts w:ascii="Times New Roman" w:hAnsi="Times New Roman"/>
          <w:i/>
          <w:sz w:val="20"/>
        </w:rPr>
        <w:t>www.virtualshareholdermeeting.com/BIRD2026</w:t>
      </w:r>
      <w:r>
        <w:rPr>
          <w:rFonts w:ascii="Times New Roman" w:hAnsi="Times New Roman"/>
          <w:sz w:val="20"/>
        </w:rPr>
        <w:t xml:space="preserve">. We do not intend to post questions received during the Annual Meeting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Will a list of registered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For the ten days ending the day prior to the Annual Meeting, a list of our registered stockholders as of close of business on the Record Date will be available for examination by any stockholder of record for a legally valid purpose related to the Annual Meeting at our corporate headquarters during regular business hours.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at the Annual Meeting. On the Record Date, there were 9,315,794 shares of Class A common stock outstanding and 2,493,399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ten votes on each proposal. Our Class A common stock and Class B common stock are collectively referred to in this proxy statement as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There are five matters scheduled for a vote: </w:t>
      </w:r>
    </w:p>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Election of the Class II directors to hold office until the 2029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2:</w:t>
            </w:r>
            <w:r>
              <w:rPr>
                <w:rFonts w:ascii="Times New Roman" w:hAnsi="Times New Roman"/>
                <w:sz w:val="20"/>
              </w:rPr>
              <w:t xml:space="preserve"> Approval of an amendment to the Company’s 2021 Equity Incentive Plan (the “2021 Plan”) to increase the number of shares authorized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3:</w:t>
            </w:r>
            <w:r>
              <w:rPr>
                <w:rFonts w:ascii="Times New Roman" w:hAnsi="Times New Roman"/>
                <w:sz w:val="20"/>
              </w:rPr>
              <w:t xml:space="preserve"> Approval, for purposes of complying with Nasdaq Listing Rule 5635(d), of the issuance of shares of our Class A common stock representing more than 19.99% upon the conversion of certain Convertible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4:</w:t>
            </w:r>
            <w:r>
              <w:rPr>
                <w:rFonts w:ascii="Times New Roman" w:hAnsi="Times New Roman"/>
                <w:sz w:val="20"/>
              </w:rPr>
              <w:t xml:space="preserve"> Ratification of the selection of BPM LLP as the Company’s independent registered public accounting firm for the fiscal year ending December 31,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5</w:t>
            </w:r>
            <w:r>
              <w:rPr>
                <w:rFonts w:ascii="Times New Roman" w:hAnsi="Times New Roman"/>
                <w:sz w:val="20"/>
              </w:rPr>
              <w:t xml:space="preserve">: Approval of one or more adjournments of the Annual Meeting from time to time, if necessary, to solicit additional proxies in the event that there are insufficient shares present virtually or represented by proxy voting in favor of the proposals presented at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I vote on these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Board recommends that you vote your shares: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Elizabeth Mora and Daniel Kasun as Class II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an amendment to the Company’s 2021 Plan to increase the number of shares authorized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for purposes of complying with Nasdaq Listing Rule 5635(d), of the issuance of shares of our Class A common stock representing more than 19.99% upon the conversion of certain Convertible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selection of BPM LLP as the Company’s independent registered public accounting firm for the fiscal year ending December 31,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one or more adjournments of the Annual Meeting from time to time, if necessary, to solicit additional proxies in the event that there are insufficient shares present virtually or represented by proxy voting in favor of the proposals presented at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You may either vote “For” all the nominees to the Board or you may “Withhold” your vote for any nominee you specify. For Proposals 2, 3, 4 and 5, you may vote “For” or “Against” or abstain from voting.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the Company’s transfer agent, Computershare, then you are a stockholder of record. Whether or not you plan to attend the meeting, we urge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vote by proxy to ensure your vote is counted. You may still attend the meeting and vote at the meeting even if you have already voted by proxy. If you are a stockholder of record, you may vote by following the procedures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w:t>
            </w:r>
            <w:r>
              <w:rPr>
                <w:rFonts w:ascii="Times New Roman" w:hAnsi="Times New Roman"/>
                <w:b/>
                <w:i/>
                <w:sz w:val="20"/>
              </w:rPr>
              <w:t>during</w:t>
            </w:r>
            <w:r>
              <w:rPr>
                <w:rFonts w:ascii="Times New Roman" w:hAnsi="Times New Roman"/>
                <w:sz w:val="20"/>
              </w:rPr>
              <w:t xml:space="preserve"> the Annual Meeting, if you are a stockholder of record as of the Record Date, follow the instructions at </w:t>
            </w:r>
            <w:r>
              <w:rPr>
                <w:rFonts w:ascii="Times New Roman" w:hAnsi="Times New Roman"/>
                <w:i/>
                <w:sz w:val="20"/>
              </w:rPr>
              <w:t>www.virtualshareholdermeeting.com/BIRD2026</w:t>
            </w:r>
            <w:r>
              <w:rPr>
                <w:rFonts w:ascii="Times New Roman" w:hAnsi="Times New Roman"/>
                <w:sz w:val="20"/>
              </w:rPr>
              <w:t xml:space="preserve">. You will need to enter the 16-digit control number found on your Notice, or proxy card if you requested a printed set of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w:t>
            </w:r>
            <w:r>
              <w:rPr>
                <w:rFonts w:ascii="Times New Roman" w:hAnsi="Times New Roman"/>
                <w:b/>
                <w:i/>
                <w:sz w:val="20"/>
              </w:rPr>
              <w:t>prior</w:t>
            </w:r>
            <w:r>
              <w:rPr>
                <w:rFonts w:ascii="Times New Roman" w:hAnsi="Times New Roman"/>
                <w:sz w:val="20"/>
              </w:rPr>
              <w:t xml:space="preserve"> to the Annual Meeting (until 11:59 p.m. Eastern Time on September 29, 2026), you may vote via the Internet at </w:t>
            </w:r>
            <w:r>
              <w:rPr>
                <w:rFonts w:ascii="Times New Roman" w:hAnsi="Times New Roman"/>
                <w:i/>
                <w:sz w:val="20"/>
              </w:rPr>
              <w:t>www.proxyvote.com</w:t>
            </w:r>
            <w:r>
              <w:rPr>
                <w:rFonts w:ascii="Times New Roman" w:hAnsi="Times New Roman"/>
                <w:sz w:val="20"/>
              </w:rPr>
              <w:t xml:space="preserve">; by telephone; or by completing and returning the proxy card if you requested a printed set of proxy materials,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may be delivered and return it promptly in the envelope provided. If you return your signed proxy card to us before the Annual Meeting, we will vote your shares as you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your control number from the Notice. Your telephone vote must be received by 11:59 p.m. Eastern Time on September 29, 2026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prior to the meeting, go to </w:t>
            </w:r>
            <w:r>
              <w:rPr>
                <w:rFonts w:ascii="Times New Roman" w:hAnsi="Times New Roman"/>
                <w:i/>
                <w:sz w:val="20"/>
              </w:rPr>
              <w:t>www.proxyvote.com</w:t>
            </w:r>
            <w:r>
              <w:rPr>
                <w:rFonts w:ascii="Times New Roman" w:hAnsi="Times New Roman"/>
                <w:sz w:val="20"/>
              </w:rPr>
              <w:t xml:space="preserve"> and follow the instructions to submit your vote on an electronic proxy card. You will be asked to provide your control number from the Notice. Your internet vote must be received by 11:59 p.m. Eastern Time on September 29,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or other similar organization, then you are the beneficial owner of shares held in “street name” and you should have received a Notice containing voting instructions from that organization rather than from the Company. Follow the instructions from your broker, bank, or other agent included with the Notice or contact your broker, bank, or other agent regarding how to vote the shares in your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shares of our Class A common stock will have one vote per share of Class A common stock held as of the Record Date, and each holder of shares of our Class B common stock will have ten votes per share of Class B common stock held as of the Record Date. The holders of the shares of our Class A common stock and Class B common stock will vote as a single class on all matters described in this proxy statement for which your vote is being solicited.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via the internet at </w:t>
      </w:r>
      <w:r>
        <w:rPr>
          <w:rFonts w:ascii="Times New Roman" w:hAnsi="Times New Roman"/>
          <w:i/>
          <w:sz w:val="20"/>
        </w:rPr>
        <w:t>www.proxyvote.com</w:t>
      </w:r>
      <w:r>
        <w:rPr>
          <w:rFonts w:ascii="Times New Roman" w:hAnsi="Times New Roman"/>
          <w:sz w:val="20"/>
        </w:rPr>
        <w:t xml:space="preserve">, by telephone, by completing your proxy card if you requested a printed set of materials, or virtually during the Annual Meeting, your shares will not be voted.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election of each of the nominees for director, and “For” Proposals 2, 3, 4 and 5. If any other matter is properly presented at the meeting, your proxyholder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bank, or other agent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may use their discretion to vote your “uninstructed” shares with respect to matters considered to be “routine” under such rules, but not with respect to “non-routine” matters. Proposals 1, 2, 3 and 5 are considered to be “non-routine” under such rules, meaning that your broker may not vote your shares on this proposal in the absence of your voting instructions. However, Proposal 4 is considered to be “routine” under such rules, meaning that if you do not return voting instructions to your broker by its deadline, your shares may be voted by your broker in its discretion on Proposal 4. </w:t>
      </w:r>
    </w:p>
    <w:p>
      <w:pPr>
        <w:pStyle w:val="TextBody"/>
        <w:bidi w:val="0"/>
        <w:spacing w:before="240" w:after="0"/>
        <w:jc w:val="left"/>
        <w:rPr>
          <w:rFonts w:ascii="Times New Roman" w:hAnsi="Times New Roman"/>
          <w:sz w:val="20"/>
        </w:rPr>
      </w:pPr>
      <w:r>
        <w:rPr>
          <w:rFonts w:ascii="Times New Roman" w:hAnsi="Times New Roman"/>
          <w:b/>
          <w:i/>
          <w:sz w:val="20"/>
        </w:rPr>
        <w:t xml:space="preserve">If you are a beneficial owner of shares held in street name and you do not plan to attend the meeting, in order to ensure your shares are voted in the way you would prefer, you </w:t>
      </w:r>
      <w:r>
        <w:rPr>
          <w:rFonts w:ascii="Times New Roman" w:hAnsi="Times New Roman"/>
          <w:b/>
          <w:i/>
          <w:sz w:val="20"/>
          <w:u w:val="single"/>
        </w:rPr>
        <w:t>must</w:t>
      </w:r>
      <w:r>
        <w:rPr>
          <w:rFonts w:ascii="Times New Roman" w:hAnsi="Times New Roman"/>
          <w:sz w:val="20"/>
        </w:rPr>
        <w:t xml:space="preserve"> </w:t>
      </w:r>
      <w:r>
        <w:rPr>
          <w:rFonts w:ascii="Times New Roman" w:hAnsi="Times New Roman"/>
          <w:b/>
          <w:i/>
          <w:sz w:val="20"/>
        </w:rPr>
        <w:t>provide voting instructions to your broker, bank, or other agent by the deadline provided in the materials you receive from your broker, bank, or other agent</w:t>
      </w:r>
      <w:r>
        <w:rPr>
          <w:rFonts w:ascii="Times New Roman" w:hAnsi="Times New Roman"/>
          <w:b/>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1, 2, 3 and 5 are considered to be “non-routine” under stock exchange rules and we therefore expect broker non-votes on this proposal. However, because Proposal 4 is considered “routine” under such rules, we do not expect broker non-votes on this proposal since if you hold your shares in street name and do not provide voting instructions to your broker, bank, or other agent that holds your shares, your broker, bank, or other agent has discretionary authority to vote your shares on Proposal 4. </w:t>
      </w:r>
    </w:p>
    <w:p>
      <w:pPr>
        <w:pStyle w:val="TextBody"/>
        <w:bidi w:val="0"/>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the proposal to elect directors, votes “For,” “Withhold,” and broker non-votes; with respect to Proposals 2, 3 and 5, votes “For” and “Against,” broker non-votes and abstentions; and, with respect to Proposal 4, votes “For” and “Against” and abstentions. Broker non-votes on Proposals 1, 2, 3 and 5 will have no effect and will not be counted towards the vote total for the proposals. Withhold votes will not affect the vote for Proposal 1. Abstentions are not applicable with respect to Proposal 1 and will not affect the vote for Proposals 2, 3, 4 and 5.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to approve each proposal? </w:t>
      </w:r>
    </w:p>
    <w:p>
      <w:pPr>
        <w:pStyle w:val="TextBody"/>
        <w:bidi w:val="0"/>
        <w:spacing w:before="12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For election of directors, the nominee receiving the most “For” votes from the holders of the shares present in person, by remote communication, or represented by proxy duly authorized at the meeting and entitled to vote generally on the election of directors will be elected. Only votes “For” will affect the outcome. </w:t>
      </w:r>
    </w:p>
    <w:p>
      <w:pPr>
        <w:pStyle w:val="TextBody"/>
        <w:bidi w:val="0"/>
        <w:spacing w:before="240" w:after="0"/>
        <w:jc w:val="left"/>
        <w:rPr>
          <w:rFonts w:ascii="Times New Roman" w:hAnsi="Times New Roman"/>
          <w:sz w:val="20"/>
        </w:rPr>
      </w:pPr>
      <w:r>
        <w:rPr>
          <w:rFonts w:ascii="Times New Roman" w:hAnsi="Times New Roman"/>
          <w:i/>
          <w:sz w:val="20"/>
        </w:rPr>
        <w:t>Proposals 2, 3, 4 and 5:</w:t>
      </w:r>
      <w:r>
        <w:rPr>
          <w:rFonts w:ascii="Times New Roman" w:hAnsi="Times New Roman"/>
          <w:sz w:val="20"/>
        </w:rPr>
        <w:t xml:space="preserve"> To be approved, the proposal must receive “For” votes from the holders of a majority of the voting power of the shares present in person, by remote communication, or represented by proxy duly authorized at the meeting and voting affirmatively or negatively (excluding abstentions and broker non-votes) on such matter. If you “Abstain” from voting, it will have no effect on the vote for Proposals 2, 3, 4 and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meeting. If you are the record holder of your shares, you may revoke your proxy in any one of the following ways: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grant a subsequent proxy by telephone or through the internet.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timely written notice that you are revoking your proxy to the Company’s Secretary at 425 Page Mill Road, Suite 200, Palo Alto, CA 94306.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Annual Meeting and vote online. Simply attending the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each of the Notices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of one-third of the voting power of the outstanding shares of stock entitled to vote at the meeting are present at the meeting or represented by proxy. </w:t>
      </w:r>
    </w:p>
    <w:p>
      <w:pPr>
        <w:pStyle w:val="TextBody"/>
        <w:bidi w:val="0"/>
        <w:spacing w:before="240" w:after="0"/>
        <w:jc w:val="left"/>
        <w:rPr>
          <w:rFonts w:ascii="Times New Roman" w:hAnsi="Times New Roman"/>
          <w:sz w:val="20"/>
        </w:rPr>
      </w:pPr>
      <w:r>
        <w:rPr>
          <w:rFonts w:ascii="Times New Roman" w:hAnsi="Times New Roman"/>
          <w:sz w:val="20"/>
        </w:rPr>
        <w:t xml:space="preserve">Abstentions, withhold votes, and broker non-votes will be counted towards the quorum requirement. If there is no quorum, the holders of a majority of the voting power of the shares present at the meeting or represented by proxy may adjourn the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When are stockholder proposals and director nominations due for next year’s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To be considered for inclusion in next year’s proxy materials, your proposal must be submitted in writing by April 22, 2027 to the Company’s Secretary at 425 Page Mill Road, Suite 200, Palo Alto, CA 94306.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proposals (including director nominations) to be presented by a stockholder present at the meeting, but not included in the Company’s proxy materials, our Amended and Restated Bylaws (the “Bylaws”) provide that to be timely you must deliver your notice to our Secretary at the address above between June 2, 2027 and July 2, 2027. Your notice to the Secretary must set forth all of the information specified in our Bylaws, including, without limitation, your name and address and the class and number of shares of our stock that you beneficially own. In the event that we hold the 2027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2027 annual meeting of stockholders and no later than the close of business of the later of the following two dates: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90th day prior to the 2027 annual meeting of stockholders;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10th day following the day on which public announcement of the date of our 2027 annual meeting of stockholders is first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Bylaws, to comply with the universal proxy rules, stockholders who intend to solicit proxies in support of director nominees other than the Company’s nominees must provide in their notice the additional information required by Rule 14a-19 under the Exchange Act and comply with the additional requirements of Rule 14a-19(b)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74786_2"/>
      <w:bookmarkEnd w:id="4"/>
      <w:r>
        <w:rPr>
          <w:rFonts w:ascii="Times New Roman" w:hAnsi="Times New Roman"/>
          <w:b/>
          <w:sz w:val="20"/>
        </w:rPr>
        <w:t xml:space="preserve">PROPOSAL 1: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b/>
          <w:sz w:val="20"/>
        </w:rPr>
      </w:pPr>
      <w:bookmarkStart w:id="5" w:name="toc174786_3"/>
      <w:bookmarkEnd w:id="5"/>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Each class consists, as nearly as possible, of one-third of the total number of directors, and each class has a three-year term. </w:t>
      </w:r>
    </w:p>
    <w:p>
      <w:pPr>
        <w:pStyle w:val="TextBody"/>
        <w:bidi w:val="0"/>
        <w:spacing w:before="240" w:after="0"/>
        <w:jc w:val="left"/>
        <w:rPr>
          <w:rFonts w:ascii="Times New Roman" w:hAnsi="Times New Roman"/>
          <w:sz w:val="20"/>
        </w:rPr>
      </w:pPr>
      <w:r>
        <w:rPr>
          <w:rFonts w:ascii="Times New Roman" w:hAnsi="Times New Roman"/>
          <w:sz w:val="20"/>
        </w:rPr>
        <w:t>The Board presently has five members: Nadia Carlsten, Lily Yan Hughes, Timothy Brown, Dan Levitan, and Dick Boyce. There is one director, Dan Levitan, currently in the class whose term of office expires at the Annual Meeting. Dick Boyce has notified the Board of his intention to resign from the Board, effective as of date of the Annual Meeting.</w:t>
      </w:r>
    </w:p>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the Nomination and Governance Committee (the “NG Committee”), our Board has nominated the individuals listed in the table below for election as directors at the Annual Meeting. Each nominee is not currently a director of the Company. If elected at the Annual Meeting, each nominee would serve until the 2029 annual meeting and until each such person’s successor has been duly elected and qualified, or, if sooner, until each such director’s death, resignation, or removal. It is the Company’s policy to invite and encourage directors and nominees for director to attend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brief biographies below include information, as of the date of this proxy statement, regarding the specific and particular experience, qualifications, attributes, or skills of the nominee that led the NG Committee to believe that each such nominee should serve on our Board. </w:t>
      </w:r>
    </w:p>
    <w:p>
      <w:pPr>
        <w:pStyle w:val="TextBody"/>
        <w:bidi w:val="0"/>
        <w:spacing w:before="0" w:after="0"/>
        <w:jc w:val="left"/>
        <w:rPr/>
      </w:pPr>
      <w:r>
        <w:rPr/>
        <w:t> </w:t>
      </w:r>
    </w:p>
    <w:tbl>
      <w:tblPr>
        <w:tblW w:w="8159" w:type="dxa"/>
        <w:jc w:val="left"/>
        <w:tblInd w:w="0" w:type="dxa"/>
        <w:tblLayout w:type="fixed"/>
        <w:tblCellMar>
          <w:top w:w="0" w:type="dxa"/>
          <w:left w:w="0" w:type="dxa"/>
          <w:bottom w:w="0" w:type="dxa"/>
          <w:right w:w="0" w:type="dxa"/>
        </w:tblCellMar>
      </w:tblPr>
      <w:tblGrid>
        <w:gridCol w:w="1295"/>
        <w:gridCol w:w="120"/>
        <w:gridCol w:w="146"/>
        <w:gridCol w:w="414"/>
        <w:gridCol w:w="60"/>
        <w:gridCol w:w="120"/>
        <w:gridCol w:w="129"/>
        <w:gridCol w:w="565"/>
        <w:gridCol w:w="60"/>
        <w:gridCol w:w="120"/>
        <w:gridCol w:w="153"/>
        <w:gridCol w:w="1277"/>
        <w:gridCol w:w="60"/>
        <w:gridCol w:w="120"/>
        <w:gridCol w:w="60"/>
        <w:gridCol w:w="1730"/>
        <w:gridCol w:w="60"/>
        <w:gridCol w:w="120"/>
        <w:gridCol w:w="276"/>
        <w:gridCol w:w="1199"/>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 Expires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Position(s) 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Director Since</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Kasun</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right"/>
              <w:rPr/>
            </w:pPr>
            <w:r>
              <w:rPr/>
              <w:t>II</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Director Nominee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Mora</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Director Nominee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05"/>
        <w:gridCol w:w="1895"/>
      </w:tblGrid>
      <w:tr>
        <w:trPr/>
        <w:tc>
          <w:tcPr>
            <w:tcW w:w="305" w:type="dxa"/>
            <w:tcBorders/>
            <w:vAlign w:val="center"/>
          </w:tcPr>
          <w:p>
            <w:pPr>
              <w:pStyle w:val="TableContents"/>
              <w:bidi w:val="0"/>
              <w:spacing w:before="0" w:after="283"/>
              <w:jc w:val="left"/>
              <w:rPr/>
            </w:pPr>
            <w:r>
              <w:rPr/>
              <w:t>(1)</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Record Date. </w:t>
            </w:r>
          </w:p>
        </w:tc>
      </w:tr>
    </w:tbl>
    <w:p>
      <w:pPr>
        <w:pStyle w:val="TextBody"/>
        <w:bidi w:val="0"/>
        <w:spacing w:before="240" w:after="0"/>
        <w:jc w:val="left"/>
        <w:rPr>
          <w:rFonts w:ascii="Times New Roman" w:hAnsi="Times New Roman"/>
          <w:sz w:val="20"/>
        </w:rPr>
      </w:pPr>
      <w:r>
        <w:rPr>
          <w:rFonts w:ascii="Times New Roman" w:hAnsi="Times New Roman"/>
          <w:b/>
          <w:i/>
          <w:sz w:val="20"/>
        </w:rPr>
        <w:t>Daniel Kasun.</w:t>
      </w:r>
      <w:r>
        <w:rPr>
          <w:rFonts w:ascii="Times New Roman" w:hAnsi="Times New Roman"/>
          <w:sz w:val="20"/>
        </w:rPr>
        <w:t xml:space="preserve"> Mr. Kasun is a seasoned technology sales executive and channel leader with more than 25 years of experience building and leading global sales, channel, and partner organizations. Since 2025, Mr. Kasun has served as Senior Vice President and Global Head of Partner Ecosystem at Pegasystems Inc. (NASDAQ: PEGA), an enterprise AI solution development and workflow automation software company, where he is responsible for partner strategy, recruitment, development, pipeline generation, and annual contract revenue across all global regions. From 2014 to 2025, Mr. Kasun served in sales and channel leadership roles at Amazon Web Services where he built AWS go-to-market organizations, including ISV Partner Sales Leader for Global Financial Services and Public Sector ISV Sales and Channel Leader for Worldwide Public Sector. From 1996 to 2014, Mr. Kasun held technology and sales leadership positions at Microsoft Corporation over an 18-year tenure, most recently as Senior Director, U.S. Public Sector Developer Tools Sales, with prior leadership of Financial Services and Healthcare platform technology sales. Mr. Kasun holds a B.S. in Computer Engineering from Lehigh University. Mr. Kasun was selected to serve on our Board of Directors because of his experience building and scaling global sales and partner organizations, his expertise in go-to-market strategies for AI, cloud, and developer platform technologies, and his experience in regulated industries. </w:t>
      </w:r>
    </w:p>
    <w:p>
      <w:pPr>
        <w:pStyle w:val="TextBody"/>
        <w:bidi w:val="0"/>
        <w:spacing w:before="240" w:after="0"/>
        <w:jc w:val="left"/>
        <w:rPr>
          <w:rFonts w:ascii="Times New Roman" w:hAnsi="Times New Roman"/>
          <w:sz w:val="20"/>
        </w:rPr>
      </w:pPr>
      <w:r>
        <w:rPr>
          <w:rFonts w:ascii="Times New Roman" w:hAnsi="Times New Roman"/>
          <w:b/>
          <w:i/>
          <w:sz w:val="20"/>
        </w:rPr>
        <w:t>Elizabeth Mora.</w:t>
      </w:r>
      <w:r>
        <w:rPr>
          <w:rFonts w:ascii="Times New Roman" w:hAnsi="Times New Roman"/>
          <w:sz w:val="20"/>
        </w:rPr>
        <w:t xml:space="preserve"> Ms. Mora has served as Chair of the Board of Inogen, Inc. (NASDAQ: INGN), a medical technology company focused on portable oxygen concentrators, since 2021. She has also served as a director of MKS Instruments, Inc. (NASDAQ: MKSI), a global semiconductor equipment and laser company with over $4.0 billion in annual revenue, since 2012, where she chairs the Audit Committee and serves on the Compensation Committee. She has also served as a director of Limoneira Company (NASDAQ: LMNR), a premier integrated agribusiness, since 2021, where she chairs the Compensation Committee and the Nomination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Governance Committee. From 2016 to 2020, Ms. Mora served as Board Chair of GCP Applied Technologies, Inc., a publicly traded construction materials and chemicals company spun off from W.R. Grace &amp; Co. From 2008 to 2020, Ms. Mora served as Chief Financial Officer and Chief Administrative Officer of Draper Laboratory, an $800 million government contractor serving NASA, the Department of Defense, DARPA, and classified communities. From 1997 to 2008, she held various financial positions at Harvard University, serving as Chief Financial Officer from 2005 to 2008. Earlier in her career, Ms. Mora spent eight years at PricewaterhouseCoopers, LLC. Ms. Mora holds an M.B.A. from Simmons College and a B.A. from the University of California, Berkeley. She is an active Certified Public Accountant and holds a TS/SCI security clearance. Ms. Mora was selected to serve on our Board of Directors because her extensive public company board leadership experience, together with her financial expertise, provide the Board with critical financial, governance, and operational oversight capabilities. </w:t>
      </w:r>
    </w:p>
    <w:p>
      <w:pPr>
        <w:pStyle w:val="TextBody"/>
        <w:bidi w:val="0"/>
        <w:spacing w:before="360" w:after="0"/>
        <w:jc w:val="left"/>
        <w:rPr>
          <w:rFonts w:ascii="Times New Roman" w:hAnsi="Times New Roman"/>
          <w:b/>
          <w:sz w:val="20"/>
        </w:rPr>
      </w:pPr>
      <w:bookmarkStart w:id="6" w:name="toc174786_4"/>
      <w:bookmarkEnd w:id="6"/>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of the votes of the shares present in person, by remote communication, or represented by proxy duly authorized at the meeting and entitled to vote generally on the election of directors. Accordingly, the two nominees receiving the highest number of affirmative votes will be elected. Shares represented by executed proxies will be voted, if authority to do so is not withheld, for the election of the nominee named below. If any nominee becomes unavailable for election as a result of an unexpected occurrence, shares that would have been voted for that nominee will instead be voted for the election of a substitute nominee proposed by Smartbird. Each person nominated for election has agreed to serve if elected. The Company’s management has no reason to believe that any nominee will be unable to serve.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THE NAMED NOMINEES. </w:t>
      </w:r>
    </w:p>
    <w:p>
      <w:pPr>
        <w:pStyle w:val="TextBody"/>
        <w:bidi w:val="0"/>
        <w:spacing w:before="240" w:after="0"/>
        <w:jc w:val="left"/>
        <w:rPr>
          <w:rFonts w:ascii="Times New Roman" w:hAnsi="Times New Roman"/>
          <w:b/>
          <w:sz w:val="20"/>
        </w:rPr>
      </w:pPr>
      <w:bookmarkStart w:id="7" w:name="toc174786_5"/>
      <w:bookmarkEnd w:id="7"/>
      <w:r>
        <w:rPr>
          <w:rFonts w:ascii="Times New Roman" w:hAnsi="Times New Roman"/>
          <w:b/>
          <w:sz w:val="20"/>
        </w:rPr>
        <w:t xml:space="preserve">INFORMATION ABOUT OUR CONTINUING DIRECTORS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ages, and length of service of the remaining members of our Board whose terms continue beyond the Annual Meeting. </w:t>
      </w:r>
    </w:p>
    <w:p>
      <w:pPr>
        <w:pStyle w:val="TextBody"/>
        <w:bidi w:val="0"/>
        <w:spacing w:before="0" w:after="0"/>
        <w:jc w:val="left"/>
        <w:rPr/>
      </w:pPr>
      <w:r>
        <w:rPr/>
        <w:t> </w:t>
      </w:r>
    </w:p>
    <w:tbl>
      <w:tblPr>
        <w:tblW w:w="8188" w:type="dxa"/>
        <w:jc w:val="left"/>
        <w:tblInd w:w="0" w:type="dxa"/>
        <w:tblLayout w:type="fixed"/>
        <w:tblCellMar>
          <w:top w:w="0" w:type="dxa"/>
          <w:left w:w="0" w:type="dxa"/>
          <w:bottom w:w="0" w:type="dxa"/>
          <w:right w:w="0" w:type="dxa"/>
        </w:tblCellMar>
      </w:tblPr>
      <w:tblGrid>
        <w:gridCol w:w="1565"/>
        <w:gridCol w:w="120"/>
        <w:gridCol w:w="560"/>
        <w:gridCol w:w="120"/>
        <w:gridCol w:w="129"/>
        <w:gridCol w:w="565"/>
        <w:gridCol w:w="60"/>
        <w:gridCol w:w="120"/>
        <w:gridCol w:w="153"/>
        <w:gridCol w:w="1277"/>
        <w:gridCol w:w="60"/>
        <w:gridCol w:w="120"/>
        <w:gridCol w:w="112"/>
        <w:gridCol w:w="1497"/>
        <w:gridCol w:w="60"/>
        <w:gridCol w:w="120"/>
        <w:gridCol w:w="158"/>
        <w:gridCol w:w="1317"/>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Continuing Directors</w:t>
            </w:r>
          </w:p>
        </w:tc>
        <w:tc>
          <w:tcPr>
            <w:tcW w:w="12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120"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 Expires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Position(s) 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Director Since</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Nadia Carlsten</w:t>
            </w:r>
          </w:p>
        </w:tc>
        <w:tc>
          <w:tcPr>
            <w:tcW w:w="12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I</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Director</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2026</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I</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Director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2025</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w:t>
            </w:r>
          </w:p>
        </w:tc>
        <w:tc>
          <w:tcPr>
            <w:tcW w:w="12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III</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Director</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2015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05"/>
        <w:gridCol w:w="1895"/>
      </w:tblGrid>
      <w:tr>
        <w:trPr/>
        <w:tc>
          <w:tcPr>
            <w:tcW w:w="305" w:type="dxa"/>
            <w:tcBorders/>
            <w:vAlign w:val="center"/>
          </w:tcPr>
          <w:p>
            <w:pPr>
              <w:pStyle w:val="TableContents"/>
              <w:bidi w:val="0"/>
              <w:spacing w:before="0" w:after="283"/>
              <w:jc w:val="left"/>
              <w:rPr/>
            </w:pPr>
            <w:r>
              <w:rPr/>
              <w:t>(1)</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Record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occupation, business experience, and education of each continuing director are set forth below. </w:t>
      </w:r>
    </w:p>
    <w:p>
      <w:pPr>
        <w:pStyle w:val="TextBody"/>
        <w:bidi w:val="0"/>
        <w:spacing w:before="240" w:after="0"/>
        <w:jc w:val="left"/>
        <w:rPr>
          <w:rFonts w:ascii="Times New Roman" w:hAnsi="Times New Roman"/>
          <w:sz w:val="20"/>
        </w:rPr>
      </w:pPr>
      <w:r>
        <w:rPr>
          <w:rFonts w:ascii="Times New Roman" w:hAnsi="Times New Roman"/>
          <w:b/>
          <w:i/>
          <w:sz w:val="20"/>
        </w:rPr>
        <w:t>Nadia Carlsten</w:t>
      </w:r>
      <w:r>
        <w:rPr>
          <w:rFonts w:ascii="Times New Roman" w:hAnsi="Times New Roman"/>
          <w:sz w:val="20"/>
        </w:rPr>
        <w:t xml:space="preserve">. Dr. Carlsten has served as President, Chief Executive Officer, and Secretary of the Company and as a member of our Board of Directors since June 2026. She brings significant experience in AI and advanced computing platforms, making her a valuable addition as the Company pursues opportunities in the AI infrastructure market. Most recently, Dr. Carlsten served as the Chief Executive Officer of DCAI, an AI infrastructure and services company, from August 2024 to January 2026. While there, Dr. Carlsten built and scaled AI infrastructure platforms from concept to commercial deployment, including Denmark’s sovereign AI supercomputer. From May 2022 to August 2024, Dr. Carlsten served as the Vice President of Product at SandboxAQ, a Google spin-off developing AI models and platforms. Prior to that, from 2019 until 2022, Dr. Carlsten held leadership positions at Amazon Web Services, including as Head of Product for the AWS Center for Quantum Computing. From 2016 to 2019, Dr. Carlsten held various roles with the U.S. Department of Homeland Security, most recently serving as Director of Commercialization. Earlier in her career, Dr. Carlsten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held positions supporting the commercialization and deployment of advanced technologies across both public- and private-sector organizations. Dr. Carlsten is a member of the World Economic Forum’s Global Future Council—Next Generation Computing and serves as Senior Investment Advisor to Ground State Ventures. Dr. Carlsten holds a B.S. in Chemistry and a B.A. in Physics from the University of Virginia and a Ph.D. in Engineering from the University of California, Berkeley. </w:t>
      </w:r>
    </w:p>
    <w:p>
      <w:pPr>
        <w:pStyle w:val="TextBody"/>
        <w:bidi w:val="0"/>
        <w:spacing w:before="240" w:after="0"/>
        <w:jc w:val="left"/>
        <w:rPr>
          <w:rFonts w:ascii="Times New Roman" w:hAnsi="Times New Roman"/>
          <w:sz w:val="20"/>
        </w:rPr>
      </w:pPr>
      <w:r>
        <w:rPr>
          <w:rFonts w:ascii="Times New Roman" w:hAnsi="Times New Roman"/>
          <w:b/>
          <w:i/>
          <w:sz w:val="20"/>
        </w:rPr>
        <w:t>Lily Yan Hughes</w:t>
      </w:r>
      <w:r>
        <w:rPr>
          <w:rFonts w:ascii="Times New Roman" w:hAnsi="Times New Roman"/>
          <w:sz w:val="20"/>
        </w:rPr>
        <w:t xml:space="preserve">. Ms. Hughes has served as a member of our Board of Directors since October 2025. Most recently, Ms. Hughes served as Assistant Dean at Syracuse University College of Law from July 2021 to July 2026. She previously held positions as Senior Vice President, Chief Legal Officer and Corporate Secretary at Arrow Electronics, Inc. and Public Storage. Prior to that, Ms. Hughes was Vice President, Associate General Counsel-Corporate M&amp;A and Finance for Ingram Micro, Inc. Earlier in her career, she was a Corporate and Securities Partner with the national law firm of Manatt, Phelps &amp; Phillips. Ms. Hughes has served on the Board of DirectWomen since 2021, where she is currently Chair. She previously held Board positions with the Association of Corporate Counsel and NUBURU, Inc., where she chaired the Nominating and Governance Committee and served on the Audit and Compensation Committees. She holds a B.A. from the University of California, Berkeley and a J.D. from the University of California, Berkeley School of Law. Ms. Hughes was selected to serve on our Board of Directors because of her broad range of expertise, spanning technology, distribution, real estate, capital markets and governance, and her proven leadership and board experience. </w:t>
      </w:r>
    </w:p>
    <w:p>
      <w:pPr>
        <w:pStyle w:val="TextBody"/>
        <w:bidi w:val="0"/>
        <w:spacing w:before="240" w:after="0"/>
        <w:jc w:val="left"/>
        <w:rPr>
          <w:rFonts w:ascii="Times New Roman" w:hAnsi="Times New Roman"/>
          <w:sz w:val="20"/>
        </w:rPr>
      </w:pPr>
      <w:r>
        <w:rPr>
          <w:rFonts w:ascii="Times New Roman" w:hAnsi="Times New Roman"/>
          <w:b/>
          <w:i/>
          <w:sz w:val="20"/>
        </w:rPr>
        <w:t>Timothy Brown</w:t>
      </w:r>
      <w:r>
        <w:rPr>
          <w:rFonts w:ascii="Times New Roman" w:hAnsi="Times New Roman"/>
          <w:sz w:val="20"/>
        </w:rPr>
        <w:t xml:space="preserve">. Mr. Brown has served as a member of our Board of Directors since he co-founded our predecessor company, Allbirds, Inc., in May 2015. From January 2025 to May 2026, Mr. Brown served as Allbirds’ Co-Founder and Brand Ambassador. From May 2023 through January 2025, Mr. Brown served as Allbirds’ Chief Innovation Officer, from October 2015 through May 2023, he served as Allbirds’ Co-Chief Executive Officer, and from May 2015 to October 2015, Mr. Brown served as Allbirds’ Chief Executive Officer. Prior to co-founding Allbirds, Mr. Brown served as Manager in the Innovation Strategy and Business Development Department at Redscout, a brand consulting firm, from March 2015 to August 2015. In 2010, Mr. Brown was Vice Captain of the New Zealand World Cup football team. Mr. Brown holds a B.S. in Design from the College of Design, Architecture, Art, and Planning at the University of Cincinnati and an M.Sc. in International Management from the London School of Economics and Political Science. Mr. Brown was selected to serve on our Board of Directors because of the perspective and experience he brings as Allbirds’ co-founder, former Chief Innovation Officer and former Co-Chief Executive Officer, as well as his management experience. </w:t>
      </w:r>
    </w:p>
    <w:p>
      <w:pPr>
        <w:pStyle w:val="TextBody"/>
        <w:bidi w:val="0"/>
        <w:spacing w:before="480" w:after="0"/>
        <w:jc w:val="center"/>
        <w:rPr>
          <w:rFonts w:ascii="Times New Roman" w:hAnsi="Times New Roman"/>
          <w:b/>
          <w:sz w:val="20"/>
        </w:rPr>
      </w:pPr>
      <w:bookmarkStart w:id="8" w:name="toc174786_6"/>
      <w:bookmarkEnd w:id="8"/>
      <w:r>
        <w:rPr>
          <w:rFonts w:ascii="Times New Roman" w:hAnsi="Times New Roman"/>
          <w:b/>
          <w:sz w:val="20"/>
        </w:rPr>
        <w:t xml:space="preserve">INFORMATION REGARDING THE BOARD OF DIRECTORS AND CORPORATE GOVERNANCE </w:t>
      </w:r>
    </w:p>
    <w:p>
      <w:pPr>
        <w:pStyle w:val="TextBody"/>
        <w:bidi w:val="0"/>
        <w:spacing w:before="240" w:after="0"/>
        <w:jc w:val="left"/>
        <w:rPr>
          <w:rFonts w:ascii="Times New Roman" w:hAnsi="Times New Roman"/>
          <w:b/>
          <w:sz w:val="20"/>
        </w:rPr>
      </w:pPr>
      <w:bookmarkStart w:id="9" w:name="toc174786_7"/>
      <w:bookmarkEnd w:id="9"/>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required under the Nasdaq Stock Market (“Nasdaq”) listing standards, a majority of the members of a listed company’s board of directors must qualify as “independent,” as affirmatively determined by the board. Consistent with these considerations, based on all the relevant facts and circumstances, the Board has affirmatively determined that the following directors and director nominees are independent directors within the meaning of the applicable Nasdaq listing standards: Mr. Boyce, Ms. Hughes, Mr. Levitan, Mr. Kasun, and Ms. Mora. Ms. Freeman, Mr. Blumenthal, and Mr. Thanawala were previously determined to be independent during their respective times on the Board in 2025. In making this determination, the Board found that none of these directors or nominees for director had a material or other disqualifying relationship with the Company. Accordingly, a majority of our directors are independent, as required under applicable Nasdaq listing standards. </w:t>
      </w:r>
    </w:p>
    <w:p>
      <w:pPr>
        <w:pStyle w:val="TextBody"/>
        <w:bidi w:val="0"/>
        <w:spacing w:before="360" w:after="0"/>
        <w:jc w:val="left"/>
        <w:rPr>
          <w:rFonts w:ascii="Times New Roman" w:hAnsi="Times New Roman"/>
          <w:b/>
          <w:sz w:val="20"/>
        </w:rPr>
      </w:pPr>
      <w:bookmarkStart w:id="10" w:name="toc174786_8"/>
      <w:bookmarkEnd w:id="10"/>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Ms. Hughes currently serves as the chairperson of our Board of Directors. Her responsibilities include: (i) presiding at all meetings of the Board including executive sessions of the independent directors; (ii) acting as liaison between the independent directors and the Chief Executive Officer; (iii) presiding over meetings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independent directors; (iv) consulting with the Chief Executive Officer in planning and setting schedules and agendas for Board meetings; and (v) performing such other functions as the Board may delegate. Since Ms. Hughes, an independent director, is the chairperson of our Board, our Board no longer has a separate role of lead independent director. We believe that our current leadership structure of having an independent director serve as chairperson creates an environment that is conducive to objective evaluation and oversight of management’s performance, increasing management accountability and improving the ability of the Board to monitor whether management’s actions are in the best interests of the Company and its stockholders. </w:t>
      </w:r>
    </w:p>
    <w:p>
      <w:pPr>
        <w:pStyle w:val="TextBody"/>
        <w:bidi w:val="0"/>
        <w:spacing w:before="360" w:after="0"/>
        <w:jc w:val="left"/>
        <w:rPr>
          <w:rFonts w:ascii="Times New Roman" w:hAnsi="Times New Roman"/>
          <w:b/>
          <w:sz w:val="20"/>
        </w:rPr>
      </w:pPr>
      <w:bookmarkStart w:id="11" w:name="toc174786_9"/>
      <w:bookmarkEnd w:id="11"/>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oversees our risk management processes. In particular, our Board is responsible for monitoring and assessing strategic risk exposure, including a determination of the nature and level of risk appropriate for the Company. The Board has overall responsibility for evaluating key business risks faced by the Company, including but not limited to privacy, technology, information security (including cyber security and back-up of information systems), competition, and regulation. The Board does not have a standing risk management committee, but rather administers this oversight function directly through the Board as a whole, as well as through various Board standing committees that address risks inherent in their respective areas of oversight. Our Audit Committee reviews and discusses with the Board, management, and the auditors the Company’s processes and policies on risk identification, management, and assessment in all areas of the Company’s business. The Audit Committee has the responsibility to consider and discuss our policies and other matters relating to the Company’s investments, cash management and foreign exchange management, major financial risk exposures, the adequacy and effectiveness of the Company’s privacy and information security policies and practices, including cybersecurity matters, and the internal controls regarding privacy and information security, and the steps taken by management to monitor and mitigate or otherwise control these exposures and to identify future risks. The Audit Committee reviews and discusses with the Board and management the adequacy of the Company’s insurance programs, including director and officer insurance, product liability insurance, and general liability insurance. The Audit Committee also helps the Board oversee the Company’s privacy and information security policies and legal and regulatory compliance, including risk assessment, in addition to oversight of the performance of our internal audit function. </w:t>
      </w:r>
    </w:p>
    <w:p>
      <w:pPr>
        <w:pStyle w:val="TextBody"/>
        <w:bidi w:val="0"/>
        <w:spacing w:before="240" w:after="0"/>
        <w:jc w:val="left"/>
        <w:rPr>
          <w:rFonts w:ascii="Times New Roman" w:hAnsi="Times New Roman"/>
          <w:sz w:val="20"/>
        </w:rPr>
      </w:pPr>
      <w:r>
        <w:rPr>
          <w:rFonts w:ascii="Times New Roman" w:hAnsi="Times New Roman"/>
          <w:sz w:val="20"/>
        </w:rPr>
        <w:t xml:space="preserve">Our NG Committee reviews and assesses the adequacy of our corporate governance guidelines and, as appropriate, will recommend any proposed changes to the Board for its consideration and approval, and also plans for leadership succession. Our Management Compensation and Leadership Committee reviews the Company’s practices and policies of employee compensation as they relate to risk management and risk-taking incentives to determine if such compensation policies and practices are reasonably likely to have a material adverse effect on the Company. In addition, the entire Board receives reports from time to time regarding various enterprise risks facing the Company, and the applicable Board committees receive related reports with respect to the committees’ respective areas of risk oversight. </w:t>
      </w:r>
    </w:p>
    <w:p>
      <w:pPr>
        <w:pStyle w:val="TextBody"/>
        <w:bidi w:val="0"/>
        <w:spacing w:before="360" w:after="0"/>
        <w:jc w:val="left"/>
        <w:rPr>
          <w:rFonts w:ascii="Times New Roman" w:hAnsi="Times New Roman"/>
          <w:b/>
          <w:sz w:val="20"/>
        </w:rPr>
      </w:pPr>
      <w:bookmarkStart w:id="12" w:name="toc174786_10"/>
      <w:bookmarkEnd w:id="12"/>
      <w:r>
        <w:rPr>
          <w:rFonts w:ascii="Times New Roman" w:hAnsi="Times New Roman"/>
          <w:b/>
          <w:sz w:val="20"/>
        </w:rPr>
        <w:t xml:space="preserve">MEETINGS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met nine times during the last fiscal year. All incumbent Board members attended 75% or more of the aggregate number of meetings of the Board and of the committees on which he or she served, held during the portion of the last fiscal year for which he or she was a director or committee member. Although we do not have a formal policy regarding attendance by members of our Board at annual meetings of stockholders, we encourage directors to attend. Six of the then-serving directors attended our 2025 annual meeting of stockholders. </w:t>
      </w:r>
    </w:p>
    <w:p>
      <w:pPr>
        <w:pStyle w:val="TextBody"/>
        <w:bidi w:val="0"/>
        <w:spacing w:before="360" w:after="0"/>
        <w:jc w:val="left"/>
        <w:rPr>
          <w:rFonts w:ascii="Times New Roman" w:hAnsi="Times New Roman"/>
          <w:b/>
          <w:sz w:val="20"/>
        </w:rPr>
      </w:pPr>
      <w:bookmarkStart w:id="13" w:name="toc174786_11"/>
      <w:bookmarkEnd w:id="13"/>
      <w:r>
        <w:rPr>
          <w:rFonts w:ascii="Times New Roman" w:hAnsi="Times New Roman"/>
          <w:b/>
          <w:sz w:val="20"/>
        </w:rPr>
        <w:t xml:space="preserve">INFORMATION REGARDING 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three committees: an Audit Committee, a Management Compensation and Leadership Committee, and a Nomination and Governance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the membership and meeting information for fiscal 2025 for each of the Board committees: </w:t>
      </w:r>
    </w:p>
    <w:p>
      <w:pPr>
        <w:pStyle w:val="TextBody"/>
        <w:bidi w:val="0"/>
        <w:spacing w:before="0" w:after="0"/>
        <w:jc w:val="left"/>
        <w:rPr/>
      </w:pPr>
      <w:r>
        <w:rPr/>
        <w:t> </w:t>
      </w:r>
    </w:p>
    <w:tbl>
      <w:tblPr>
        <w:tblW w:w="6725" w:type="dxa"/>
        <w:jc w:val="left"/>
        <w:tblInd w:w="0" w:type="dxa"/>
        <w:tblLayout w:type="fixed"/>
        <w:tblCellMar>
          <w:top w:w="0" w:type="dxa"/>
          <w:left w:w="0" w:type="dxa"/>
          <w:bottom w:w="0" w:type="dxa"/>
          <w:right w:w="0" w:type="dxa"/>
        </w:tblCellMar>
      </w:tblPr>
      <w:tblGrid>
        <w:gridCol w:w="2405"/>
        <w:gridCol w:w="120"/>
        <w:gridCol w:w="139"/>
        <w:gridCol w:w="466"/>
        <w:gridCol w:w="200"/>
        <w:gridCol w:w="120"/>
        <w:gridCol w:w="343"/>
        <w:gridCol w:w="1147"/>
        <w:gridCol w:w="200"/>
        <w:gridCol w:w="120"/>
        <w:gridCol w:w="288"/>
        <w:gridCol w:w="962"/>
        <w:gridCol w:w="21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Management</w:t>
              <w:br/>
              <w:t>Compensation</w:t>
              <w:br/>
              <w:t>and</w:t>
              <w:br/>
              <w:t>Leadership</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Nomination</w:t>
              <w:br/>
              <w:t>and</w:t>
              <w:br/>
              <w:t>Governance</w:t>
            </w:r>
          </w:p>
        </w:tc>
        <w:tc>
          <w:tcPr>
            <w:tcW w:w="21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Zwillinger(1)</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 Vernachio(2)</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Blumenthal(3)</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X</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 Freeman(4)</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X</w:t>
            </w:r>
          </w:p>
        </w:tc>
        <w:tc>
          <w:tcPr>
            <w:tcW w:w="21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Dick Boyce(5)</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X</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X</w:t>
            </w:r>
          </w:p>
        </w:tc>
        <w:tc>
          <w:tcPr>
            <w:tcW w:w="21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 Levitan(6)</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Ravi Thanawala(7)</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X</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Hughes(8)</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X</w:t>
            </w:r>
          </w:p>
        </w:tc>
        <w:tc>
          <w:tcPr>
            <w:tcW w:w="21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92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meetings in fiscal 2025</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5</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4</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4</w:t>
            </w:r>
          </w:p>
        </w:tc>
        <w:tc>
          <w:tcPr>
            <w:tcW w:w="2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155"/>
        <w:gridCol w:w="2015"/>
      </w:tblGrid>
      <w:tr>
        <w:trPr/>
        <w:tc>
          <w:tcPr>
            <w:tcW w:w="155"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Chairperson </w:t>
            </w:r>
          </w:p>
        </w:tc>
      </w:tr>
    </w:tbl>
    <w:tbl>
      <w:tblPr>
        <w:tblW w:w="5695" w:type="dxa"/>
        <w:jc w:val="left"/>
        <w:tblInd w:w="0" w:type="dxa"/>
        <w:tblLayout w:type="fixed"/>
        <w:tblCellMar>
          <w:top w:w="0" w:type="dxa"/>
          <w:left w:w="0" w:type="dxa"/>
          <w:bottom w:w="0" w:type="dxa"/>
          <w:right w:w="0" w:type="dxa"/>
        </w:tblCellMar>
      </w:tblPr>
      <w:tblGrid>
        <w:gridCol w:w="305"/>
        <w:gridCol w:w="5390"/>
      </w:tblGrid>
      <w:tr>
        <w:trPr/>
        <w:tc>
          <w:tcPr>
            <w:tcW w:w="305" w:type="dxa"/>
            <w:tcBorders/>
            <w:vAlign w:val="center"/>
          </w:tcPr>
          <w:p>
            <w:pPr>
              <w:pStyle w:val="TableContents"/>
              <w:bidi w:val="0"/>
              <w:spacing w:before="0" w:after="283"/>
              <w:jc w:val="left"/>
              <w:rPr/>
            </w:pPr>
            <w:r>
              <w:rPr/>
              <w:t>(1)</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Zwillinger resigned from the Board of Directors in May 2026. </w:t>
            </w:r>
          </w:p>
        </w:tc>
      </w:tr>
    </w:tbl>
    <w:tbl>
      <w:tblPr>
        <w:tblW w:w="5680" w:type="dxa"/>
        <w:jc w:val="left"/>
        <w:tblInd w:w="0" w:type="dxa"/>
        <w:tblLayout w:type="fixed"/>
        <w:tblCellMar>
          <w:top w:w="0" w:type="dxa"/>
          <w:left w:w="0" w:type="dxa"/>
          <w:bottom w:w="0" w:type="dxa"/>
          <w:right w:w="0" w:type="dxa"/>
        </w:tblCellMar>
      </w:tblPr>
      <w:tblGrid>
        <w:gridCol w:w="305"/>
        <w:gridCol w:w="5375"/>
      </w:tblGrid>
      <w:tr>
        <w:trPr/>
        <w:tc>
          <w:tcPr>
            <w:tcW w:w="305" w:type="dxa"/>
            <w:tcBorders/>
            <w:vAlign w:val="center"/>
          </w:tcPr>
          <w:p>
            <w:pPr>
              <w:pStyle w:val="TableContents"/>
              <w:bidi w:val="0"/>
              <w:spacing w:before="0" w:after="283"/>
              <w:jc w:val="left"/>
              <w:rPr/>
            </w:pPr>
            <w:r>
              <w:rPr/>
              <w:t>(2)</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Vernachio resigned from the Board of Directors in June 2026. </w:t>
            </w:r>
          </w:p>
        </w:tc>
      </w:tr>
    </w:tbl>
    <w:tbl>
      <w:tblPr>
        <w:tblW w:w="6355" w:type="dxa"/>
        <w:jc w:val="left"/>
        <w:tblInd w:w="0" w:type="dxa"/>
        <w:tblLayout w:type="fixed"/>
        <w:tblCellMar>
          <w:top w:w="0" w:type="dxa"/>
          <w:left w:w="0" w:type="dxa"/>
          <w:bottom w:w="0" w:type="dxa"/>
          <w:right w:w="0" w:type="dxa"/>
        </w:tblCellMar>
      </w:tblPr>
      <w:tblGrid>
        <w:gridCol w:w="305"/>
        <w:gridCol w:w="6050"/>
      </w:tblGrid>
      <w:tr>
        <w:trPr/>
        <w:tc>
          <w:tcPr>
            <w:tcW w:w="305" w:type="dxa"/>
            <w:tcBorders/>
            <w:vAlign w:val="center"/>
          </w:tcPr>
          <w:p>
            <w:pPr>
              <w:pStyle w:val="TableContents"/>
              <w:bidi w:val="0"/>
              <w:spacing w:before="0" w:after="283"/>
              <w:jc w:val="left"/>
              <w:rPr/>
            </w:pPr>
            <w:r>
              <w:rPr/>
              <w:t>(3)</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Blumenthal did not stand for re-election at the 2025 Annual Meeting. </w:t>
            </w:r>
          </w:p>
        </w:tc>
      </w:tr>
    </w:tbl>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pPr>
            <w:r>
              <w:rPr/>
              <w:t>(4)</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Freeman resigned from the Board of Directors in September 2025.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Boyce has notified the Board of Directors of his intention to resign from the Board of Directors effective as of the date of the Annual Meeting. Mr. Boyce served as the Chair of the Nomination and Governance Committee until October 2025. </w:t>
            </w:r>
          </w:p>
        </w:tc>
      </w:tr>
    </w:tbl>
    <w:tbl>
      <w:tblPr>
        <w:tblW w:w="5155" w:type="dxa"/>
        <w:jc w:val="left"/>
        <w:tblInd w:w="0" w:type="dxa"/>
        <w:tblLayout w:type="fixed"/>
        <w:tblCellMar>
          <w:top w:w="0" w:type="dxa"/>
          <w:left w:w="0" w:type="dxa"/>
          <w:bottom w:w="0" w:type="dxa"/>
          <w:right w:w="0" w:type="dxa"/>
        </w:tblCellMar>
      </w:tblPr>
      <w:tblGrid>
        <w:gridCol w:w="305"/>
        <w:gridCol w:w="4850"/>
      </w:tblGrid>
      <w:tr>
        <w:trPr/>
        <w:tc>
          <w:tcPr>
            <w:tcW w:w="305" w:type="dxa"/>
            <w:tcBorders/>
            <w:vAlign w:val="center"/>
          </w:tcPr>
          <w:p>
            <w:pPr>
              <w:pStyle w:val="TableContents"/>
              <w:bidi w:val="0"/>
              <w:spacing w:before="0" w:after="283"/>
              <w:jc w:val="left"/>
              <w:rPr/>
            </w:pPr>
            <w:r>
              <w:rPr/>
              <w:t>(6)</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Levitan’s term of office expires at the Annual Meeting. </w:t>
            </w:r>
          </w:p>
        </w:tc>
      </w:tr>
    </w:tbl>
    <w:tbl>
      <w:tblPr>
        <w:tblW w:w="5695" w:type="dxa"/>
        <w:jc w:val="left"/>
        <w:tblInd w:w="0" w:type="dxa"/>
        <w:tblLayout w:type="fixed"/>
        <w:tblCellMar>
          <w:top w:w="0" w:type="dxa"/>
          <w:left w:w="0" w:type="dxa"/>
          <w:bottom w:w="0" w:type="dxa"/>
          <w:right w:w="0" w:type="dxa"/>
        </w:tblCellMar>
      </w:tblPr>
      <w:tblGrid>
        <w:gridCol w:w="305"/>
        <w:gridCol w:w="5390"/>
      </w:tblGrid>
      <w:tr>
        <w:trPr/>
        <w:tc>
          <w:tcPr>
            <w:tcW w:w="305" w:type="dxa"/>
            <w:tcBorders/>
            <w:vAlign w:val="center"/>
          </w:tcPr>
          <w:p>
            <w:pPr>
              <w:pStyle w:val="TableContents"/>
              <w:bidi w:val="0"/>
              <w:spacing w:before="0" w:after="283"/>
              <w:jc w:val="left"/>
              <w:rPr/>
            </w:pPr>
            <w:r>
              <w:rPr/>
              <w:t>(7)</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Thanawala resigned from the Board of Directors in July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(8)</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Hughes joined the Board of Directors in October 2025. Ms. Hughes served as the Chair of the Nomination and Governance Committee beginning in October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current membership information for each of the Board committees: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1640"/>
        <w:gridCol w:w="120"/>
        <w:gridCol w:w="139"/>
        <w:gridCol w:w="466"/>
        <w:gridCol w:w="60"/>
        <w:gridCol w:w="120"/>
        <w:gridCol w:w="447"/>
        <w:gridCol w:w="1493"/>
        <w:gridCol w:w="200"/>
        <w:gridCol w:w="120"/>
        <w:gridCol w:w="392"/>
        <w:gridCol w:w="1308"/>
        <w:gridCol w:w="21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b/>
              </w:rPr>
            </w:pPr>
            <w:r>
              <w:rPr>
                <w:b/>
              </w:rPr>
              <w:t>Audit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center"/>
              <w:rPr>
                <w:b/>
              </w:rPr>
            </w:pPr>
            <w:r>
              <w:rPr>
                <w:b/>
              </w:rPr>
              <w:t>Management</w:t>
              <w:br/>
              <w:t>Compensation and</w:t>
              <w:br/>
              <w:t>Leadership</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Nomination</w:t>
              <w:br/>
              <w:t>and Governance</w:t>
            </w:r>
          </w:p>
        </w:tc>
        <w:tc>
          <w:tcPr>
            <w:tcW w:w="21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Hughes(8)</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X</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X</w:t>
            </w:r>
          </w:p>
        </w:tc>
        <w:tc>
          <w:tcPr>
            <w:tcW w:w="21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Nadia Carlsten</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sz w:val="4"/>
                <w:szCs w:val="4"/>
              </w:rPr>
            </w:pPr>
            <w:r>
              <w:rPr>
                <w:sz w:val="4"/>
                <w:szCs w:val="4"/>
              </w:rPr>
            </w:r>
          </w:p>
        </w:tc>
        <w:tc>
          <w:tcPr>
            <w:tcW w:w="1493"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1308"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Dick Boyce</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X</w:t>
            </w:r>
          </w:p>
        </w:tc>
        <w:tc>
          <w:tcPr>
            <w:tcW w:w="21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 Levitan</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X</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X</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1308"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155"/>
        <w:gridCol w:w="2015"/>
      </w:tblGrid>
      <w:tr>
        <w:trPr/>
        <w:tc>
          <w:tcPr>
            <w:tcW w:w="155"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each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and each committee have the power to engage, at the expense of the Company, legal, accounting, or other outside advisors that it may deem necessary. The Board has determined each member of each committee meets the applicable Nasdaq rules and regulations regarding “independence” and each member is free of any relationship that would impair his or her individual exercise of independent judgment with regard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4" w:name="toc174786_12"/>
      <w:bookmarkEnd w:id="14"/>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was established by the Board in accordance with Section 3(a)(58)(A) of the Securities Exchange Act of 1934, as amended (the “Exchange Act”), to oversee the Company’s corporate accounting and financial reporting processes and audits of its financial statements. For this purpose, the Audit Committee performs several functions. Specific responsibilities of our Audit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accounting and financial reporting processes, systems of internal control, financial statement audits, and the integrity of the Company’s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the selection, engagement terms, fees, qualifications, independence, and performance of the registered public accounting firm engaged as the Company’s independent outside auditors for the purpose of preparing or issuing an audit report or performing audit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fostering an open avenue of communication with the Company’s management, internal audit group, and the independent outside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any reports or disclosures required by applicable law and listing requirements of any stock exchange on which the Company’s securities are listed;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design, implementation, organization, and performance of the Company’s internal audit function;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helping the Board oversee the Company’s privacy and information security policies and legal and regulatory compliance, including risk assessment;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regular reports and information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results of the audit with management and the independent outside auditors, and reviewing, with management and the independent outside auditors, our annual and quarterly financial statements;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 report by the independent outside auditors at least annually that describes our internal quality 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the independent outside auditors.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is currently composed of three directors: Mr. Boyce, Mr. Levitan, and Ms. Hughes. In 2025, the Audit Committee was composed of three directors: Mr. Boyce, Mr. Levitan, and Mr. Thanawala (chair). The Audit Committee met five times during 2025. The Board has adopted a written Audit Committee charter that satisfies the applicable listing standards of Nasdaq and is available to stockholders on the Company’s website at </w:t>
      </w:r>
      <w:r>
        <w:rPr>
          <w:rFonts w:ascii="Times New Roman" w:hAnsi="Times New Roman"/>
          <w:i/>
          <w:sz w:val="20"/>
        </w:rPr>
        <w:t>ir.smartbird.ai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including pursuant to Rule 10A-3(b)(1)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also determined that Mr. Boyce qualifies as an “audit committee financial expert,” as defined in applicable SEC rules. Mr. Thanawala was previously determined to qualify as an “audit committee financial expert,” during his time on the Board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toc174786_13"/>
      <w:bookmarkEnd w:id="15"/>
      <w:r>
        <w:rPr>
          <w:rFonts w:ascii="Times New Roman" w:hAnsi="Times New Roman"/>
          <w:b/>
          <w:sz w:val="20"/>
        </w:rPr>
        <w:t xml:space="preserve">Management Compensation and Leadership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Management Compensation and Leadership Committee (the “Compensation Committee”) is currently composed of two directors: Ms. Hughes and Mr. Levitan. The chair of the Compensation Committee is Mr. Levitan. In 2025, the Compensation Committee was composed of: Mr. Blumenthal, Ms. Freeman, Mr. Levitan (chair), and Ms. Hughes. All members of the Company’s Compensation Committee are independent (as independence is currently defined in Rule 5605(d)(2) of the Nasdaq listing standards). The Compensation Committee met four times during 2025. The Board has adopted a written Compensation Committee charter that satisfies the applicable listing standards of Nasdaq and is available to stockholders on the Company’s website at </w:t>
      </w:r>
      <w:r>
        <w:rPr>
          <w:rFonts w:ascii="Times New Roman" w:hAnsi="Times New Roman"/>
          <w:i/>
          <w:sz w:val="20"/>
        </w:rPr>
        <w:t>ir.smartbird.ai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determining the compensation to be paid or awarded to the Company’s executive officers and non-employee directors;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the compensation of our directors;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approving employment agreements, severance agreements, change-of-control protections, corporate performance goals and objectives relating to compensation, and other compensatory arrangements of the Company’s executive officers and other senior management and adjusting compensation, as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strategy.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Processes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Typically, the Compensation Committee meets quarterly and with greater frequency if necessary. The agenda for each meeting is usually developed by the Chair of the Compensation Committee, in consultation with the Chief Executive Officer and our compensation consulting firm.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such person’s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legal, accounting, or other outside advisors (including compensation consultants) it deems necessary. The Compensation Committee has sole authority to approve the consultant’s reasonable fees and other retention terms. Under its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During 2025, the Compensation Committee had an engagement with Farient Advisors as our independent compensation consultant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evaluate the efficacy of the Company’s existing compensation strategy and practices in supporting and reinforcing the Company’s long-term strategic goals;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 in refining the Company’s compensation strategy and in developing and implementing an executive compensation program to execute that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its engagement, Farient developed a comparative group of companies and performed analyses of competitive performance and compensation levels for that group. Farient developed recommendations that were presented to the Compensation Committee and Board for consideration, which were subsequently approved. </w:t>
      </w:r>
    </w:p>
    <w:p>
      <w:pPr>
        <w:pStyle w:val="TextBody"/>
        <w:bidi w:val="0"/>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and the Chief Financial Officer, the Compensation Committee solicits and considers evaluations and recommendations submitted to the Compensation Committee by the Chief Executive Officer and the Chief Financial Officer. In the case of the Chief Executive Officer, the evaluation of such person’s performance is conducted by the Compensation Committee, which determines any adjustments to such person’s compensation as well as awards to be granted.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another entity that has one or more executive officers serving on our Board of Directors or Compensation Committee. </w:t>
      </w:r>
    </w:p>
    <w:p>
      <w:pPr>
        <w:pStyle w:val="TextBody"/>
        <w:bidi w:val="0"/>
        <w:spacing w:before="360" w:after="0"/>
        <w:jc w:val="left"/>
        <w:rPr>
          <w:rFonts w:ascii="Times New Roman" w:hAnsi="Times New Roman"/>
          <w:b/>
          <w:sz w:val="20"/>
        </w:rPr>
      </w:pPr>
      <w:bookmarkStart w:id="16" w:name="toc174786_14"/>
      <w:bookmarkEnd w:id="16"/>
      <w:r>
        <w:rPr>
          <w:rFonts w:ascii="Times New Roman" w:hAnsi="Times New Roman"/>
          <w:b/>
          <w:sz w:val="20"/>
        </w:rPr>
        <w:t xml:space="preserve">Nomination and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responsibilities of the NG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evaluating, and communicating with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evaluating the composition, organization, and size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adequacy of the Company’s corporate governance guidelines and, as appropriate, recommending any proposed changes to the Board for its consideration and approval;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our Board of Directors’ performance, including committees of our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with the Board of Directors and the Chief Executive Officer, the succession plans for the Company’s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NG Committee is composed of two directors: Mr. Boyce and Ms. Hughes. The chair of the NG Committee is Ms. Hughes. In 2025, the NG Committee was composed of: Ms. Freeman, Mr. Boyce (who served as chair of the NG Committee until October 2025), and Ms. Hughes (who has served as chair of the NG Committee since October 2025). All members of the NG Committee are independent (as independence is currently defined in Rule 5605(a)(2) of the Nasdaq listing standards). The NG Committee met four times during 2025. The Board has adopted a written NG Committee charter that satisfies the applicable listing standards of Nasdaq and is available to stockholders on the Company’s website at </w:t>
      </w:r>
      <w:r>
        <w:rPr>
          <w:rFonts w:ascii="Times New Roman" w:hAnsi="Times New Roman"/>
          <w:i/>
          <w:sz w:val="20"/>
        </w:rPr>
        <w:t>ir.smartbird.ai</w:t>
      </w:r>
      <w:r>
        <w:rPr>
          <w:rFonts w:ascii="Times New Roman" w:hAnsi="Times New Roman"/>
          <w:sz w:val="20"/>
        </w:rPr>
        <w:t>.</w:t>
      </w:r>
    </w:p>
    <w:p>
      <w:pPr>
        <w:pStyle w:val="TextBody"/>
        <w:bidi w:val="0"/>
        <w:spacing w:before="360" w:after="0"/>
        <w:jc w:val="left"/>
        <w:rPr>
          <w:rFonts w:ascii="Times New Roman" w:hAnsi="Times New Roman"/>
          <w:i/>
          <w:sz w:val="20"/>
        </w:rPr>
      </w:pPr>
      <w:r>
        <w:rPr>
          <w:rFonts w:ascii="Times New Roman" w:hAnsi="Times New Roman"/>
          <w:i/>
          <w:sz w:val="20"/>
        </w:rPr>
        <w:t xml:space="preserve">Director Nomination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The NG Committee seeks to assemble a board that, as a whole, possesses the appropriate balance of professional and industry knowledge, financial expertise, and high-level management experience necessary to oversee and direct the Company’s business. To that end, the NG Committee uses a variety of methods to identify and evaluate director nominees that will complement and strengthen the skills of other members and who also exhibit integrity, collegiality, sound business judgment, and other qualities that the NG Committee views as critical to the effective functioning of the Board. In its evaluation of director candidates, the NG Committee considers the current composition, organization, and size of the Board. The NG Committee will use criteria approved by the Board, including consideration of potential conflicts of interest and director independence. The Board determines the appropriate characteristics, skills, and experience for the Board as a whole and for its individual members. The Board believes that candidates for director should have certain minimum qualifications, including the highest personal integrity and ethics, the ability to read and understand basic financial statements, and the ability to understand the industry of the Company. In considering candidates recommended by the NG Committee, the Board intends to consider such factors as (i) relevant expertise upon which to be able to offer advice and guidance to management; (ii) sufficient time to devote to the affairs of the Company; (iii) demonstrated excellence in his or her field; (iv) the ability to exercise sound business judgment; (v) experience as a board member or executive officer of another publicly held company; (vi) personal background, perspective, and experience; and (vii) a commitment to rigorously represent the long-term interests of the Company and its stakeholders. </w:t>
      </w:r>
    </w:p>
    <w:p>
      <w:pPr>
        <w:pStyle w:val="TextBody"/>
        <w:bidi w:val="0"/>
        <w:spacing w:before="240" w:after="0"/>
        <w:jc w:val="left"/>
        <w:rPr>
          <w:rFonts w:ascii="Times New Roman" w:hAnsi="Times New Roman"/>
          <w:sz w:val="20"/>
        </w:rPr>
      </w:pPr>
      <w:r>
        <w:rPr>
          <w:rFonts w:ascii="Times New Roman" w:hAnsi="Times New Roman"/>
          <w:sz w:val="20"/>
        </w:rPr>
        <w:t xml:space="preserve">Candidates for director nominees are reviewed in the context of the current composition of the Board, the operating requirements of the Company, and the long-term interests of stockholders. In conducting this assessment, the Board considers diversity (including diversity of gender, ethnic background, and country of origin), age, skills, and other factors that it deems appropriate to maintain a balance of knowledge, experience, and capability on the Board. From time to time, the Board in its discretion may change the criteria for Board membership. </w:t>
      </w:r>
    </w:p>
    <w:p>
      <w:pPr>
        <w:pStyle w:val="TextBody"/>
        <w:bidi w:val="0"/>
        <w:spacing w:before="360" w:after="0"/>
        <w:jc w:val="left"/>
        <w:rPr>
          <w:rFonts w:ascii="Times New Roman" w:hAnsi="Times New Roman"/>
          <w:i/>
          <w:sz w:val="20"/>
        </w:rPr>
      </w:pPr>
      <w:r>
        <w:rPr>
          <w:rFonts w:ascii="Times New Roman" w:hAnsi="Times New Roman"/>
          <w:i/>
          <w:sz w:val="20"/>
        </w:rPr>
        <w:t xml:space="preserve">Board and Committee Self-Evaluations </w:t>
      </w:r>
    </w:p>
    <w:p>
      <w:pPr>
        <w:pStyle w:val="TextBody"/>
        <w:bidi w:val="0"/>
        <w:spacing w:before="120" w:after="0"/>
        <w:jc w:val="left"/>
        <w:rPr>
          <w:rFonts w:ascii="Times New Roman" w:hAnsi="Times New Roman"/>
          <w:sz w:val="20"/>
        </w:rPr>
      </w:pPr>
      <w:r>
        <w:rPr>
          <w:rFonts w:ascii="Times New Roman" w:hAnsi="Times New Roman"/>
          <w:sz w:val="20"/>
        </w:rPr>
        <w:t xml:space="preserve">The NG Committee annually oversees a self-evaluation of the Board to determine whether the Board and its committees are functioning effectively. As appropriate, the NG Committee will make recommendations to the Board for areas of improvement. The self-evaluation includes evaluation of (a) the Board’s and each committee’s contribution as a whole and effectiveness in serving the best interests of the Company and its stockholders, (b) specific areas in which the Board and management believe that the performance of the Board and its committees could be improved, and (c) overall Board composition and makeup. The factors to be considered shall include whether the directors can and do provide the integrity, experience, judgment, commitment, skills, diversity, and expertise appropriate for the Company. In assessing the directors, both individually and collectively, the NG Committee may consider the current needs of the Board and the Company to maintain a balance of knowledge, experience, diversity, and capability in various areas. The NG Committee will also consider the independence of directors and the requirements imposed by applicable law and Nasdaq listing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7" w:name="toc174786_15"/>
      <w:bookmarkEnd w:id="17"/>
      <w:r>
        <w:rPr>
          <w:rFonts w:ascii="Times New Roman" w:hAnsi="Times New Roman"/>
          <w:b/>
          <w:sz w:val="20"/>
        </w:rPr>
        <w:t xml:space="preserve">STOCKHOLDER RECOMMENDATIONS AND NOMINEES </w:t>
      </w:r>
    </w:p>
    <w:p>
      <w:pPr>
        <w:pStyle w:val="TextBody"/>
        <w:bidi w:val="0"/>
        <w:spacing w:before="120" w:after="0"/>
        <w:jc w:val="left"/>
        <w:rPr>
          <w:rFonts w:ascii="Times New Roman" w:hAnsi="Times New Roman"/>
          <w:sz w:val="20"/>
        </w:rPr>
      </w:pPr>
      <w:r>
        <w:rPr>
          <w:rFonts w:ascii="Times New Roman" w:hAnsi="Times New Roman"/>
          <w:sz w:val="20"/>
        </w:rPr>
        <w:t xml:space="preserve">The NG Committee will consider director candidates recommended by stockholders. The NG Committee does not intend to alter the manner in which it evaluates candidates, including the minimum criteria set forth above, based on whether or not the candidate was recommended by a stockholder. Stockholders who wish to recommend individuals for consideration by the NG Committee to become nominees for election to the Board at an annual meeting of stockholders must do so by delivering a written recommendation to the NG Committee c/o Smartbird, Inc., 425 Page Mill Road, Suite 200, Palo Alto, CA 94306, Attn: Secretary. Each submission must set forth: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stockholder on whose behalf the submission is made;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class of shares of the Company that are owned beneficially by such stockholder as of the date of the submission;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full name of the proposed candidate;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proposed candidate’s business experience for at least the previous five years;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 biographical information for the proposed candidate; and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proposed candidate’s qualifications as a director.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submission must be accompanied by the written consent of the proposed candidate to be named as a nominee and to serve as a director if elected and include any other information as required by our Bylaws. </w:t>
      </w:r>
    </w:p>
    <w:p>
      <w:pPr>
        <w:pStyle w:val="TextBody"/>
        <w:bidi w:val="0"/>
        <w:spacing w:before="240" w:after="0"/>
        <w:jc w:val="left"/>
        <w:rPr>
          <w:rFonts w:ascii="Times New Roman" w:hAnsi="Times New Roman"/>
          <w:sz w:val="20"/>
        </w:rPr>
      </w:pPr>
      <w:r>
        <w:rPr>
          <w:rFonts w:ascii="Times New Roman" w:hAnsi="Times New Roman"/>
          <w:sz w:val="20"/>
        </w:rPr>
        <w:t xml:space="preserve">All written submissions received from stockholders that include the information described above will be reviewed by the NG Committee at its next appropriate meeting. If a stockholder wishes the NG Committee to consider a director candidate for nomination at an annual meeting of the Company’s stockholders, then the recommendation must be provided in accordance with the timelines and procedures set forth in the section titled “When are stockholder proposals and director nominations due for next year’s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NG Committee will consider for nomination only those individuals who possess, among other characteristics, personal and professional ethics and integrity, a background and expertise that is useful to the Company and complementary to the background of other directors, and a willingness to devote the required time to the duties and responsibilities of the Board and any committees to which he or she may be appointed, in accordance with the criteria stated in the Company’s Corporate Governance Guidelines. </w:t>
      </w:r>
    </w:p>
    <w:p>
      <w:pPr>
        <w:pStyle w:val="TextBody"/>
        <w:bidi w:val="0"/>
        <w:spacing w:before="360" w:after="0"/>
        <w:jc w:val="left"/>
        <w:rPr>
          <w:rFonts w:ascii="Times New Roman" w:hAnsi="Times New Roman"/>
          <w:b/>
          <w:sz w:val="20"/>
        </w:rPr>
      </w:pPr>
      <w:bookmarkStart w:id="18" w:name="toc174786_16"/>
      <w:bookmarkEnd w:id="18"/>
      <w:r>
        <w:rPr>
          <w:rFonts w:ascii="Times New Roman" w:hAnsi="Times New Roman"/>
          <w:b/>
          <w:sz w:val="20"/>
        </w:rPr>
        <w:t xml:space="preserve">STOCKHOLDER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has adopted a formal process by which stockholders may communicate with the Board or any of its directors. Stockholders who wish to communicate with the Board or an individual director may do so by sending written communications addressed to the Secretary of the Company at 425 Page Mill Road, Suite 200, Palo Alto, CA 94306. Each communication must set forth: </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stockholder on whose behalf the communication is sent;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class of shares of the Company that are owned beneficially by such stockholder as of the date of the communication.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 All communications directed to the Compliance Officer in accordance with our Whistleblower Policy for Accounting and Auditing Matters regarding accounting, auditing, internal accounting controls, fraud, or violations of law, regulation, or policy that could impact the Company’s financial statements will be promptly and directly forwarded to the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9" w:name="toc174786_17"/>
      <w:bookmarkEnd w:id="19"/>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the Code of Business Conduct and Ethics that applies to all officers, directors, and employees. The Code of Business Conduct and Ethics is available on the Company’s website at </w:t>
      </w:r>
      <w:r>
        <w:rPr>
          <w:rFonts w:ascii="Times New Roman" w:hAnsi="Times New Roman"/>
          <w:i/>
          <w:sz w:val="20"/>
        </w:rPr>
        <w:t>ir.smartbird.ai</w:t>
      </w:r>
      <w:r>
        <w:rPr>
          <w:rFonts w:ascii="Times New Roman" w:hAnsi="Times New Roman"/>
          <w:sz w:val="20"/>
        </w:rPr>
        <w:t xml:space="preserve">. If the Company ever were to amend or waive any provision of its Code of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w:t>
      </w:r>
    </w:p>
    <w:p>
      <w:pPr>
        <w:pStyle w:val="TextBody"/>
        <w:bidi w:val="0"/>
        <w:spacing w:before="360" w:after="0"/>
        <w:jc w:val="left"/>
        <w:rPr>
          <w:rFonts w:ascii="Times New Roman" w:hAnsi="Times New Roman"/>
          <w:b/>
          <w:sz w:val="20"/>
        </w:rPr>
      </w:pPr>
      <w:bookmarkStart w:id="20" w:name="toc174786_18"/>
      <w:bookmarkEnd w:id="20"/>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documented our governance practices by adopting Corporate Governance Guidelines to assure that the Board will have the necessary authority and practices in place to review and evaluate our business operations as needed and to make decisions that are independent of the Company’s management. The guidelines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performance evaluation of the Chief Executive Officer and succession planning, and board committees and compensation. The Corporate Governance Guidelines may be viewed on the Company’s website at </w:t>
      </w:r>
    </w:p>
    <w:p>
      <w:pPr>
        <w:pStyle w:val="TextBody"/>
        <w:bidi w:val="0"/>
        <w:spacing w:before="0" w:after="0"/>
        <w:jc w:val="left"/>
        <w:rPr>
          <w:rFonts w:ascii="Times New Roman" w:hAnsi="Times New Roman"/>
          <w:i/>
          <w:sz w:val="20"/>
        </w:rPr>
      </w:pPr>
      <w:r>
        <w:rPr>
          <w:rFonts w:ascii="Times New Roman" w:hAnsi="Times New Roman"/>
          <w:i/>
          <w:sz w:val="20"/>
        </w:rPr>
        <w:t>ir.smartbird.ai</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ANTI-HEDGING AND ANTI-PLEDGING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insider trading policy and pledging policy limit the timing and types of transactions in the Company’s securities by executive officers, including our named executive officers, employees, and members of our Board of Directors. Specifically, (1) purchasing the Company’s common stock on margin or holding it in a margin account at any time; (2) hedging or monetization transactions, including through the use of financial instruments such as prepaid variable forwards, equity swaps, collars, and exchange funds; (3) trading in derivative securities related to Company common stock, including publicly traded call and put options; and (4) short sales, are prohibited. Employees and members of our Board may not pledge the Company’s securities as collateral for a loan, subject to limited exceptions as described below. Executive officers may not, directly or indirectly, hold the Company’s securities in a margin account or otherwise pledge the Company’s securities as collateral for a loan without prior approval by the Compliance Officer. An executive officer wishing to pledge the Company’s securities as collateral for a loan or series of loans and clearly demonstrating the financial capacity to repay the loan(s) without resort to the pledged securities, and where the pledge represents no greater than 33% of all securities then held by the executive officer, may submit a request for </w:t>
      </w:r>
    </w:p>
    <w:p>
      <w:pPr>
        <w:pStyle w:val="TextBody"/>
        <w:bidi w:val="0"/>
        <w:spacing w:before="120" w:after="0"/>
        <w:jc w:val="left"/>
        <w:rPr>
          <w:rFonts w:ascii="Times New Roman" w:hAnsi="Times New Roman"/>
          <w:sz w:val="20"/>
        </w:rPr>
      </w:pPr>
      <w:r>
        <w:rPr>
          <w:rFonts w:ascii="Times New Roman" w:hAnsi="Times New Roman"/>
          <w:sz w:val="20"/>
        </w:rPr>
        <w:t>pre-approval</w:t>
      </w:r>
    </w:p>
    <w:p>
      <w:pPr>
        <w:pStyle w:val="TextBody"/>
        <w:bidi w:val="0"/>
        <w:spacing w:before="120" w:after="0"/>
        <w:jc w:val="left"/>
        <w:rPr>
          <w:rFonts w:ascii="Times New Roman" w:hAnsi="Times New Roman"/>
          <w:sz w:val="20"/>
        </w:rPr>
      </w:pPr>
      <w:r>
        <w:rPr>
          <w:rFonts w:ascii="Times New Roman" w:hAnsi="Times New Roman"/>
          <w:sz w:val="20"/>
        </w:rPr>
        <w:t xml:space="preserve">to the Compliance Officer, who will review the request and grant the exception if the Compliance Officer deems it to be in the best interest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an Insider Trading Policy in September 2021. The Insider Trading policy governs the purchase, sale, and other disposition of securities by directors, officers, employees and the Company itself.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NON-EMPLOYEE</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 Compensation Policy effective November 2, 2021 (the “Effective Date”), which provides for the following compensation to directors who are not also serving as an employee or consultant to us (each such member, a </w:t>
      </w:r>
    </w:p>
    <w:p>
      <w:pPr>
        <w:pStyle w:val="TextBody"/>
        <w:bidi w:val="0"/>
        <w:spacing w:before="120" w:after="0"/>
        <w:jc w:val="left"/>
        <w:rPr/>
      </w:pPr>
      <w:r>
        <w:rPr/>
        <w:t>“</w:t>
      </w: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 </w:t>
      </w:r>
    </w:p>
    <w:p>
      <w:pPr>
        <w:pStyle w:val="TextBody"/>
        <w:bidi w:val="0"/>
        <w:spacing w:before="360" w:after="0"/>
        <w:jc w:val="left"/>
        <w:rPr>
          <w:rFonts w:ascii="Times New Roman" w:hAnsi="Times New Roman"/>
          <w:b/>
          <w:sz w:val="20"/>
        </w:rPr>
      </w:pPr>
      <w:r>
        <w:rPr>
          <w:rFonts w:ascii="Times New Roman" w:hAnsi="Times New Roman"/>
          <w:b/>
          <w:sz w:val="20"/>
        </w:rPr>
        <w:t xml:space="preserve">Annual Cash Compensation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200"/>
        <w:gridCol w:w="26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Board Service Retainer: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75"/>
        <w:gridCol w:w="185"/>
        <w:gridCol w:w="159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w:t>
            </w:r>
          </w:p>
          <w:p>
            <w:pPr>
              <w:pStyle w:val="TableContents"/>
              <w:bidi w:val="0"/>
              <w:spacing w:before="0" w:after="0"/>
              <w:jc w:val="left"/>
              <w:rPr>
                <w:rFonts w:ascii="Times New Roman" w:hAnsi="Times New Roman"/>
                <w:sz w:val="20"/>
              </w:rPr>
            </w:pPr>
            <w:r>
              <w:rPr>
                <w:rFonts w:ascii="Times New Roman" w:hAnsi="Times New Roman"/>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$50,000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200"/>
        <w:gridCol w:w="30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Chairperson Retainer (in addition to </w:t>
            </w:r>
          </w:p>
          <w:p>
            <w:pPr>
              <w:pStyle w:val="TableContents"/>
              <w:bidi w:val="0"/>
              <w:spacing w:before="0" w:after="0"/>
              <w:jc w:val="left"/>
              <w:rPr>
                <w:rFonts w:ascii="Times New Roman" w:hAnsi="Times New Roman"/>
                <w:sz w:val="20"/>
              </w:rPr>
            </w:pPr>
            <w:r>
              <w:rPr>
                <w:rFonts w:ascii="Times New Roman" w:hAnsi="Times New Roman"/>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 Service Retainer): $50,000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200"/>
        <w:gridCol w:w="35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Chair Service Retainer: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85"/>
        <w:gridCol w:w="327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Chair of the Audit Committee: $20,000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00"/>
        <w:gridCol w:w="63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Chair of the Management Compensation and Leadership Committee: $15,000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85"/>
        <w:gridCol w:w="51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Chair of the Nomination and Governance Committee: $10,000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200"/>
        <w:gridCol w:w="68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Member Service Retainer (not applicable to Committee Chairs):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85"/>
        <w:gridCol w:w="350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$10,000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200"/>
        <w:gridCol w:w="65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Management Compensation and Leadership Committee: $7,500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85"/>
        <w:gridCol w:w="52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Nomination and Governance Committee: $5,000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cash compensation, each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 is eligible to receive restricted stock unit awards granted under the 2021 Plan, which provides, among other things, that the aggregate value of all compensation granted or paid, as applicable, to any individual for service as a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 with respect to any calendar year,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 </w:t>
      </w:r>
    </w:p>
    <w:p>
      <w:pPr>
        <w:pStyle w:val="TextBody"/>
        <w:bidi w:val="0"/>
        <w:spacing w:before="240" w:after="0"/>
        <w:jc w:val="left"/>
        <w:rPr>
          <w:rFonts w:ascii="Times New Roman" w:hAnsi="Times New Roman"/>
          <w:sz w:val="20"/>
        </w:rPr>
      </w:pPr>
      <w:r>
        <w:rPr>
          <w:rFonts w:ascii="Times New Roman" w:hAnsi="Times New Roman"/>
          <w:b/>
          <w:i/>
          <w:sz w:val="20"/>
        </w:rPr>
        <w:t>Initial Grant</w:t>
      </w:r>
      <w:r>
        <w:rPr>
          <w:rFonts w:ascii="Times New Roman" w:hAnsi="Times New Roman"/>
          <w:b/>
          <w:sz w:val="20"/>
        </w:rPr>
        <w:t>.</w:t>
      </w:r>
      <w:r>
        <w:rPr>
          <w:rFonts w:ascii="Times New Roman" w:hAnsi="Times New Roman"/>
          <w:sz w:val="20"/>
        </w:rPr>
        <w:t xml:space="preserve"> Each new Non-Employee Director elected or appointed to our Board of Directors after the Effective Date will be granted an initial, one-time restricted stock unit award with a grant date fair value of $200,000, which will vest in three equal annual installments such that the initial award will be fully vested on the third anniversary of the grant date, subject to the Non-Employee Director’s continuous service through each vesting date. </w:t>
      </w:r>
    </w:p>
    <w:p>
      <w:pPr>
        <w:pStyle w:val="TextBody"/>
        <w:bidi w:val="0"/>
        <w:spacing w:before="240" w:after="0"/>
        <w:jc w:val="left"/>
        <w:rPr>
          <w:rFonts w:ascii="Times New Roman" w:hAnsi="Times New Roman"/>
          <w:sz w:val="20"/>
        </w:rPr>
      </w:pPr>
      <w:r>
        <w:rPr>
          <w:rFonts w:ascii="Times New Roman" w:hAnsi="Times New Roman"/>
          <w:b/>
          <w:i/>
          <w:sz w:val="20"/>
        </w:rPr>
        <w:t>Annual Awards</w:t>
      </w:r>
      <w:r>
        <w:rPr>
          <w:rFonts w:ascii="Times New Roman" w:hAnsi="Times New Roman"/>
          <w:b/>
          <w:sz w:val="20"/>
        </w:rPr>
        <w:t>.</w:t>
      </w:r>
      <w:r>
        <w:rPr>
          <w:rFonts w:ascii="Times New Roman" w:hAnsi="Times New Roman"/>
          <w:sz w:val="20"/>
        </w:rPr>
        <w:t xml:space="preserve"> On the date of each annual stockholder meeting of the Company held after the Effective Date, each Non-Employee Director who continues to serve as a non-employee member of the Board of Directors following such stockholder meeting (excluding any Non-Employee Director who is first appointed to or elected by the Board of Directors at such meeting) will be granted a restricted stock unit award with a grant date fair value of $150,000, which will vest on the earlier to occur of the first anniversary of the grant date and the date of the Company’s next annual stockholder meeting, subject to the Non-Employee Director’s continuous service through each vesting date. With respect to a Non-Employee Director who, following the Effective Date, is first elected or appointed to the Board on a date other than the date of the Company’s annual stockholder meeting and who has served for fewer than six months prior to the date of the next occurring annual stockholder meeting, such Non-Employee Director’s first annual grant will be pro-rated to reflect the time between such Non-Employee Director’s election or appointment date and the date of such first annual stockholder meeting. </w:t>
      </w:r>
    </w:p>
    <w:p>
      <w:pPr>
        <w:pStyle w:val="TextBody"/>
        <w:bidi w:val="0"/>
        <w:spacing w:before="240" w:after="0"/>
        <w:jc w:val="left"/>
        <w:rPr>
          <w:rFonts w:ascii="Times New Roman" w:hAnsi="Times New Roman"/>
          <w:sz w:val="20"/>
        </w:rPr>
      </w:pPr>
      <w:r>
        <w:rPr>
          <w:rFonts w:ascii="Times New Roman" w:hAnsi="Times New Roman"/>
          <w:sz w:val="20"/>
        </w:rPr>
        <w:t xml:space="preserve">In May 2024, the Compensation Committee approved a reduction in the 2024 annual restricted stock unit award from a grant date fair value of $150,000 to 3,000 restricted stock units, which was equivalent to a grant date fair value of $32,202. In May 2025, the Compensation Committee approved an annual restricted stock unit award of 6,200 restricted stock units, which was equivalent to a grant date fair value of $55,800. </w:t>
      </w:r>
    </w:p>
    <w:p>
      <w:pPr>
        <w:pStyle w:val="TextBody"/>
        <w:bidi w:val="0"/>
        <w:spacing w:before="240" w:after="0"/>
        <w:jc w:val="left"/>
        <w:rPr>
          <w:rFonts w:ascii="Times New Roman" w:hAnsi="Times New Roman"/>
          <w:sz w:val="20"/>
        </w:rPr>
      </w:pPr>
      <w:r>
        <w:rPr>
          <w:rFonts w:ascii="Times New Roman" w:hAnsi="Times New Roman"/>
          <w:b/>
          <w:i/>
          <w:sz w:val="20"/>
        </w:rPr>
        <w:t>Change in Control</w:t>
      </w:r>
      <w:r>
        <w:rPr>
          <w:rFonts w:ascii="Times New Roman" w:hAnsi="Times New Roman"/>
          <w:b/>
          <w:sz w:val="20"/>
        </w:rPr>
        <w:t>.</w:t>
      </w:r>
      <w:r>
        <w:rPr>
          <w:rFonts w:ascii="Times New Roman" w:hAnsi="Times New Roman"/>
          <w:sz w:val="20"/>
        </w:rPr>
        <w:t xml:space="preserve"> Annual awards granted under the policy vest in full upon a Change in Control (as defined in the 2021 Plan), subject to the Non-Employee Director’s continuous service through such date. </w:t>
      </w:r>
    </w:p>
    <w:p>
      <w:pPr>
        <w:pStyle w:val="TextBody"/>
        <w:bidi w:val="0"/>
        <w:spacing w:before="240" w:after="0"/>
        <w:jc w:val="left"/>
        <w:rPr>
          <w:rFonts w:ascii="Times New Roman" w:hAnsi="Times New Roman"/>
          <w:sz w:val="20"/>
        </w:rPr>
      </w:pPr>
      <w:r>
        <w:rPr>
          <w:rFonts w:ascii="Times New Roman" w:hAnsi="Times New Roman"/>
          <w:sz w:val="20"/>
        </w:rPr>
        <w:t xml:space="preserve">A Non-Employee Director may decline all or any portion of such Non-Employee Director’s compensation by giving notice to us prior to the date cash may be paid or equity awards are to be granted,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Reimbursement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compensation outlined above, we will reimburse each Non-Employee Director for expenses incurred, if any, for attendance at each regular or special meeting of the Board of Directors and at any meeting of a committee of the Board, as well as for other reasonable expenses incurred with respect to duties as a member of the Board or any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for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earned or paid to our directors during the fiscal year ended December 31, 2025, other than for Joe Vernachio, our former President and Chief Executive Officer, who was also a member of our Board of Directors but did not receive any additional compensation for service as a director. The compensation of Mr. Vernachio as a named executive officer is set forth below under “Executive Compensation-Summary Compensation Table.” </w:t>
      </w:r>
    </w:p>
    <w:p>
      <w:pPr>
        <w:pStyle w:val="TextBody"/>
        <w:bidi w:val="0"/>
        <w:spacing w:before="0" w:after="0"/>
        <w:jc w:val="left"/>
        <w:rPr/>
      </w:pPr>
      <w:r>
        <w:rPr/>
        <w:t> </w:t>
      </w:r>
    </w:p>
    <w:tbl>
      <w:tblPr>
        <w:tblW w:w="7118" w:type="dxa"/>
        <w:jc w:val="left"/>
        <w:tblInd w:w="0" w:type="dxa"/>
        <w:tblLayout w:type="fixed"/>
        <w:tblCellMar>
          <w:top w:w="0" w:type="dxa"/>
          <w:left w:w="0" w:type="dxa"/>
          <w:bottom w:w="0" w:type="dxa"/>
          <w:right w:w="0" w:type="dxa"/>
        </w:tblCellMar>
      </w:tblPr>
      <w:tblGrid>
        <w:gridCol w:w="1640"/>
        <w:gridCol w:w="120"/>
        <w:gridCol w:w="126"/>
        <w:gridCol w:w="1439"/>
        <w:gridCol w:w="60"/>
        <w:gridCol w:w="120"/>
        <w:gridCol w:w="99"/>
        <w:gridCol w:w="1330"/>
        <w:gridCol w:w="60"/>
        <w:gridCol w:w="120"/>
        <w:gridCol w:w="60"/>
        <w:gridCol w:w="800"/>
        <w:gridCol w:w="60"/>
        <w:gridCol w:w="120"/>
        <w:gridCol w:w="62"/>
        <w:gridCol w:w="827"/>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Hughes(2)</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11,250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211,250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 Levitan</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55,800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130,800</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Zwillinger</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55,800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105,800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Dick Boyce</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55,800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135,800</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Brown(3)</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100,000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Ravi Thanawala(4)</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55,800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125,800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do not reflect dollar amounts actually received by the director. Instead, the amounts represent the aggregate grant date fair value of awards computed in accordance with Financial Accounting Standards Board Accounting Standards Codification Topic 718 (“ASC 718”), the basis for computing stock-based compensation in our financial statements. This calculation assumes that the Non-Employee Director will perform the requisite service for the award to vest in full as required by SEC rules. These amounts do not reflect the actual economic value that will be realized by the Non-Employee Director upon the settlement of such stock awards or the sale of the Class A common stock issuable upon the settlement of such stock awards. The assumptions we used in valuing stock awards are described in Note 2 to our consolidated financial statements included in our Annual Report on Form 10-K filed with the SEC on March 31, 2026.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Hughes joined the Board in October 2025 and the fees earned or paid in cash reflects the pro rata amount earned in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fiscal year ended December 31, 2025, Mr. Brown was employed by the Company as Co-Founder &amp; Brand Ambassador, a non-executive role.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includes a $20,000 one-time cash stipend approved by the Management Leadership and Compensation Committee on May 20, 2025 related to additional responsibilities assumed throughout the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Class A and Class B common stock underlying outstanding stock options held by our directors and unvested restricted stock unit awards held as of December 31, 2025 by each director who was serving as of December 31, 2025, except for Joe Vernachio, our former President and Chief Executive Officer, whose outstanding equity is disclosed under the “Executive Compensation-Outstanding Equity Awards at Fiscal Year-End.” </w:t>
      </w:r>
    </w:p>
    <w:p>
      <w:pPr>
        <w:pStyle w:val="TextBody"/>
        <w:bidi w:val="0"/>
        <w:spacing w:before="0" w:after="0"/>
        <w:jc w:val="left"/>
        <w:rPr/>
      </w:pPr>
      <w:r>
        <w:rPr/>
        <w:t> </w:t>
      </w:r>
    </w:p>
    <w:tbl>
      <w:tblPr>
        <w:tblW w:w="6470" w:type="dxa"/>
        <w:jc w:val="left"/>
        <w:tblInd w:w="0" w:type="dxa"/>
        <w:tblLayout w:type="fixed"/>
        <w:tblCellMar>
          <w:top w:w="0" w:type="dxa"/>
          <w:left w:w="0" w:type="dxa"/>
          <w:bottom w:w="0" w:type="dxa"/>
          <w:right w:w="0" w:type="dxa"/>
        </w:tblCellMar>
      </w:tblPr>
      <w:tblGrid>
        <w:gridCol w:w="1490"/>
        <w:gridCol w:w="120"/>
        <w:gridCol w:w="162"/>
        <w:gridCol w:w="1838"/>
        <w:gridCol w:w="350"/>
        <w:gridCol w:w="60"/>
        <w:gridCol w:w="192"/>
        <w:gridCol w:w="2183"/>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Outstanding at</w:t>
              <w:br/>
              <w:t>Fiscal Year End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 Restricted</w:t>
              <w:br/>
              <w:t>Stock Units at Fiscal</w:t>
              <w:br/>
              <w:t>Year End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183" w:type="dxa"/>
            <w:tcBorders/>
            <w:shd w:fill="CCEEFF" w:val="clear"/>
            <w:vAlign w:val="center"/>
          </w:tcPr>
          <w:p>
            <w:pPr>
              <w:pStyle w:val="TableContents"/>
              <w:bidi w:val="0"/>
              <w:spacing w:before="0" w:after="283"/>
              <w:jc w:val="right"/>
              <w:rPr/>
            </w:pPr>
            <w:r>
              <w:rPr/>
              <w:t>22,222</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 Levitan</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right"/>
              <w:rPr/>
            </w:pPr>
            <w:r>
              <w:rPr/>
              <w:t>6,200</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Zwillinger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183" w:type="dxa"/>
            <w:tcBorders/>
            <w:shd w:fill="CCEEFF" w:val="clear"/>
            <w:vAlign w:val="center"/>
          </w:tcPr>
          <w:p>
            <w:pPr>
              <w:pStyle w:val="TableContents"/>
              <w:bidi w:val="0"/>
              <w:spacing w:before="0" w:after="283"/>
              <w:jc w:val="right"/>
              <w:rPr/>
            </w:pPr>
            <w:r>
              <w:rPr/>
              <w:t>6,200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Dick Boyce</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right"/>
              <w:rPr/>
            </w:pPr>
            <w:r>
              <w:rPr/>
              <w:t>6,200</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pPr>
            <w:r>
              <w:rPr/>
              <w:t>76,810</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1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Ravi Thanawala</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right"/>
              <w:rPr/>
            </w:pPr>
            <w:r>
              <w:rPr/>
              <w:t>11,757</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Brown’s option awards outstanding at fiscal year end are comprised of (1) 45,559 options exercisable for our Class A common stock and (2) 31,251 options exercisable for our Class B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74786_22"/>
      <w:bookmarkEnd w:id="21"/>
      <w:r>
        <w:rPr>
          <w:rFonts w:ascii="Times New Roman" w:hAnsi="Times New Roman"/>
          <w:b/>
          <w:sz w:val="20"/>
        </w:rPr>
        <w:t xml:space="preserve">PROPOSAL 2: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AN AMENDMENT TO THE COMPANY’S 2021 EQUITY INCENTIVE PLAN TO INCREASE THE NUMBER OF SHARES AUTHORIZED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Our 2021 Plan was originally adopted by our Board of Directors on September 13, 2021, and was approved by our stockholders on September 16, 2021. The 2021 Plan became effective on November 2, 2021, the date of the underwriting agreement between the Company and the underwriters party thereto relating to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being asked to approve Amendment No. 1 to the 2021 Plan (“Amendment No. 1”) to increase the number of shares of Class A common stock authorized for issuance under the 2021 Plan by 3,500,000 shares. We are recommending that stockholders approve Amendment No. 1 because we believe that the 2021 Plan is essential to our success, by allowing us to provide incentives to attract and retain key employees, non-employee directors, and consultants and align their interests with those of our stockholders. The Board believes that the availability of additional shares of Class A common stock for awards granted under the 2021 Plan is needed to enable us to meet our anticipated equity compensation objectives to attract, motivate, and retain qualified employees,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number of shares to be added to the shares authorized for issuance under the 2021 Plan, the Board of Directors considered our burn rate and overhang, as explained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Our burn rate over the last three years has averaged 5.3%. “Burn rate” is calculated by dividing the total number of shares subject to equity awards granted in a given year by the total weighted average number of shares of common stock outstanding during the period and does not reflect any forfeitures or cancellations. Following stockholder approval on August 13, 2024, we effected a reverse stock split of our common stock at a ratio of 1-for-20 (the “Reverse Stock Split”), which occurred on September 4, 2024. The amounts below have been adjusted to reflect the Reverse Stock Split. </w:t>
      </w:r>
    </w:p>
    <w:p>
      <w:pPr>
        <w:pStyle w:val="TextBody"/>
        <w:bidi w:val="0"/>
        <w:spacing w:before="0" w:after="0"/>
        <w:jc w:val="left"/>
        <w:rPr/>
      </w:pPr>
      <w:r>
        <w:rPr/>
        <w:t> </w:t>
      </w:r>
    </w:p>
    <w:tbl>
      <w:tblPr>
        <w:tblW w:w="10040" w:type="dxa"/>
        <w:jc w:val="left"/>
        <w:tblInd w:w="0" w:type="dxa"/>
        <w:tblLayout w:type="fixed"/>
        <w:tblCellMar>
          <w:top w:w="0" w:type="dxa"/>
          <w:left w:w="0" w:type="dxa"/>
          <w:bottom w:w="0" w:type="dxa"/>
          <w:right w:w="0" w:type="dxa"/>
        </w:tblCellMar>
      </w:tblPr>
      <w:tblGrid>
        <w:gridCol w:w="5840"/>
        <w:gridCol w:w="120"/>
        <w:gridCol w:w="60"/>
        <w:gridCol w:w="980"/>
        <w:gridCol w:w="275"/>
        <w:gridCol w:w="60"/>
        <w:gridCol w:w="60"/>
        <w:gridCol w:w="980"/>
        <w:gridCol w:w="275"/>
        <w:gridCol w:w="60"/>
        <w:gridCol w:w="60"/>
        <w:gridCol w:w="980"/>
        <w:gridCol w:w="290"/>
      </w:tblGrid>
      <w:tr>
        <w:trPr/>
        <w:tc>
          <w:tcPr>
            <w:tcW w:w="5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131,949</w:t>
            </w:r>
          </w:p>
        </w:tc>
        <w:tc>
          <w:tcPr>
            <w:tcW w:w="290" w:type="dxa"/>
            <w:tcBorders/>
            <w:shd w:fill="CCEEFF" w:val="cle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Full-Value Awards (RSUs and PSUs)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431,370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266,008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603,429</w:t>
            </w:r>
          </w:p>
        </w:tc>
        <w:tc>
          <w:tcPr>
            <w:tcW w:w="29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Fully Diluted Shares of 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9,210,211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8,932,615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8,785,581</w:t>
            </w:r>
          </w:p>
        </w:tc>
        <w:tc>
          <w:tcPr>
            <w:tcW w:w="290" w:type="dxa"/>
            <w:tcBorders/>
            <w:shd w:fill="CCEEFF" w:val="cle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Burn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w:t>
            </w:r>
          </w:p>
        </w:tc>
        <w:tc>
          <w:tcPr>
            <w:tcW w:w="29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3-Year Average Burn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Overhang Calculation </w:t>
      </w:r>
    </w:p>
    <w:p>
      <w:pPr>
        <w:pStyle w:val="TextBody"/>
        <w:bidi w:val="0"/>
        <w:spacing w:before="120" w:after="0"/>
        <w:jc w:val="left"/>
        <w:rPr>
          <w:rFonts w:ascii="Times New Roman" w:hAnsi="Times New Roman"/>
          <w:sz w:val="20"/>
        </w:rPr>
      </w:pPr>
      <w:r>
        <w:rPr>
          <w:rFonts w:ascii="Times New Roman" w:hAnsi="Times New Roman"/>
          <w:sz w:val="20"/>
        </w:rPr>
        <w:t xml:space="preserve">Our existing overhang as of the Record Date is 26%. “Overhang” is a measure of potential dilution from equity compensation plans and is calculated by dividing the number of shares of common stock subject to equity awards outstanding plus the number of shares available for future grants under our equity plans by the total number of shares of common stock outstanding. Following the approval of Amendment No. 1 to the 2021 Plan, total potential overhang is expected to increase by 29.6% to 55.3%.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65"/>
        <w:gridCol w:w="120"/>
        <w:gridCol w:w="67"/>
        <w:gridCol w:w="1243"/>
        <w:gridCol w:w="60"/>
        <w:gridCol w:w="120"/>
        <w:gridCol w:w="124"/>
        <w:gridCol w:w="916"/>
        <w:gridCol w:w="290"/>
      </w:tblGrid>
      <w:tr>
        <w:trPr/>
        <w:tc>
          <w:tcPr>
            <w:tcW w:w="7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the</w:t>
              <w:b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Overhang</w:t>
            </w:r>
          </w:p>
        </w:tc>
        <w:tc>
          <w:tcPr>
            <w:tcW w:w="29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Common Stock Outstanding</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11,809,193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Awards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2,593,621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22.0</w:t>
            </w:r>
          </w:p>
        </w:tc>
        <w:tc>
          <w:tcPr>
            <w:tcW w:w="29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Existing Overhang</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3,024,637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25.6</w:t>
            </w:r>
          </w:p>
        </w:tc>
        <w:tc>
          <w:tcPr>
            <w:tcW w:w="29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Incremental Overhang from Proposed Share Authorization under Amendment No. 1 to the 2021 Plan</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3,500,000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29.6</w:t>
            </w:r>
          </w:p>
        </w:tc>
        <w:tc>
          <w:tcPr>
            <w:tcW w:w="29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Potential Overhang</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6,524,637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Reasons for Approving Amendment No. 1 to the 2021 Plan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approximately 71,376 shares remained available for issuance under the 2021 Plan. Our Board of Directors has determined that this amount is insufficient to meet our needs for current and future equity incentive awards. In its determination to seek stockholder approval to increase the number of shares authorized for issuance under the 2021 Plan, the Board reviewed the Compensation Committee’s recommendations. Among other factors, including the burn rate and overhang calculations above, the Board and the Compensation Committee have considered that (i) the Company desires to align the financial interests of its executives and other employees with those of the Company’s stockholders; (ii) the Company anticipates the use of equity compensation for recruitment and retention purposes in the future; (iii) the Company is seeking to conserve cash and intends to continue to use equity grants as a significant portion of director compensation and employee awards; and (iv) the Company’s objectives for the near future are likely to include the recruitment of executives and other personnel. Based on our historical equity grant practices, we believe that, if our stockholders approve Amendment No. 1, the increased share reserve will be sufficient for us to continue granting equity awards for approximately three years. Without stockholder approval of Amendment No. 1, we may be required to increase the cash components of our compensation program, which may inhibit our ability to align the interests of our executives with those of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Key Plan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2021 Plan provides for the grant of stock options, including both incentive stock options and nonqualified stock options, stock appreciation rights, restricted stock, RSUs and performance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Initial Number of Authorized Shares</w:t>
            </w:r>
            <w:r>
              <w:rPr>
                <w:rFonts w:ascii="Times New Roman" w:hAnsi="Times New Roman"/>
                <w:sz w:val="20"/>
              </w:rPr>
              <w:t xml:space="preserve">. At its adoption, not adjusting for the Reverse Stock Split, the 2021 Plan authorized for issuance under the 2021 Plan a maximum of 32,349,192 shares of Class A common stock, which consisted of (a) 14,661,162 new shares, plus (b) an additional number of shares not to exceed 17,688,030 shares, consisting of any shares of our Class A common stock subject to outstanding awards granted under the 2015 Equity Incentive Plan (the “2015 Plan”) that, on or after the 2021 Plan becomes effective, terminate or expire prior to exercise or settlement; are not issued because the award is settled in cash; are forfeited or repurchased because of the failure to vest; or are reacquired or withheld (or not issued) to satisfy a tax withholding obligation or the purchase or exercise price, if any; provided that any such shares described in clause (b) above that are shares of our Class B common stock will be added to the share reserve of our 2021 Plan as shares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Automatic Share Reserve Increase</w:t>
            </w:r>
            <w:r>
              <w:rPr>
                <w:rFonts w:ascii="Times New Roman" w:hAnsi="Times New Roman"/>
                <w:sz w:val="20"/>
              </w:rPr>
              <w:t xml:space="preserve">. The 2021 Plan provides for an automatic share reserve increase feature (the “Automatic Share Reserve Increase”), whereby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shares of our common stock (both Class A and Class B) outstanding on December 31 of the immediately preceding year, except that, before the date of any such increase, our Board may determine that the increase for such year will be a lesser number of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Termination</w:t>
            </w:r>
            <w:r>
              <w:rPr>
                <w:rFonts w:ascii="Times New Roman" w:hAnsi="Times New Roman"/>
                <w:sz w:val="20"/>
              </w:rPr>
              <w:t xml:space="preserve">. The 2021 Plan will continue until suspended or terminated by the Board, but (i) no incentive stock options may be granted after the tenth anniversary of the adoption of the 2021 Plan by the Board, which occurred on September 13, 2021, and (ii) the 2021 Plan’s Automatic Share Reserve Increase will operate only until January 1, 2031. </w:t>
            </w:r>
          </w:p>
        </w:tc>
      </w:tr>
    </w:tbl>
    <w:p>
      <w:pPr>
        <w:pStyle w:val="TextBody"/>
        <w:bidi w:val="0"/>
        <w:spacing w:before="360" w:after="0"/>
        <w:jc w:val="left"/>
        <w:rPr>
          <w:rFonts w:ascii="Times New Roman" w:hAnsi="Times New Roman"/>
          <w:b/>
          <w:i/>
          <w:sz w:val="20"/>
        </w:rPr>
      </w:pPr>
      <w:r>
        <w:rPr>
          <w:rFonts w:ascii="Times New Roman" w:hAnsi="Times New Roman"/>
          <w:b/>
          <w:i/>
          <w:sz w:val="20"/>
        </w:rPr>
        <w:t>Summary of the 2021 Plan</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material terms of the 2021 Plan is provided below, and the complete text of Amendment No. 1 is attached as Appendix A to this Proxy Statement. The following summary of the 2021 Plan does not purport to be complete and is qualified in its entirety by reference to the 2021 Equity Incentive Plan, filed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Exhibit 10.2 to our Annual Report on Form 10-K for the year ended December 31, 2025, as filed with the SEC on March 31, 2026. </w:t>
      </w:r>
    </w:p>
    <w:p>
      <w:pPr>
        <w:pStyle w:val="TextBody"/>
        <w:bidi w:val="0"/>
        <w:spacing w:before="0" w:after="0"/>
        <w:jc w:val="left"/>
        <w:rPr>
          <w:rFonts w:ascii="Times New Roman" w:hAnsi="Times New Roman"/>
          <w:sz w:val="20"/>
        </w:rPr>
      </w:pPr>
      <w:r>
        <w:rPr>
          <w:rFonts w:ascii="Times New Roman" w:hAnsi="Times New Roman"/>
          <w:i/>
          <w:sz w:val="20"/>
        </w:rPr>
        <w:t>Purposes of the 2021 Plan</w:t>
      </w:r>
      <w:r>
        <w:rPr>
          <w:rFonts w:ascii="Times New Roman" w:hAnsi="Times New Roman"/>
          <w:sz w:val="20"/>
        </w:rPr>
        <w:t xml:space="preserve">. We seek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i/>
          <w:sz w:val="20"/>
        </w:rPr>
        <w:t>Successor to and Continuation of Prior Plan</w:t>
      </w:r>
      <w:r>
        <w:rPr>
          <w:rFonts w:ascii="Times New Roman" w:hAnsi="Times New Roman"/>
          <w:sz w:val="20"/>
        </w:rPr>
        <w:t xml:space="preserve">. The 2021 Plan is the successor to and continuation of the 2015 Plan. As of the effective date of the 2021 Plan, no additional awards may be granted under the 2015 Plan and any returning shares granted under the 2015 Plan will become available for issuance pursuant to awards granted under the 2021 Plan.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2021 Plan provides for the grant of incentive stock options (“ISOs”), within the meaning of Section 422 of the Internal Revenue Code of 1986, as amended (the “Code”), to our employees and our parent and subsidiary corporations’ employees, and for the grant of nonstatutory stock options (“NSOs”), stock appreciation rights (“SARs”), restricted stock awards (“RSAs”), restricted stock unit (“RSU”) awards, performance awards and/or other forms of awards to our employees, directors, and consultants and any of our affiliates’ employees and consultants.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Initially, the maximum number of shares of our Class A common stock that may be issued under the 2021 Plan could not exceed 32,349,192 shares of our Class A common stock, which is the sum of (1) 14,661,162 new shares, plus (2) an additional number of shares not to exceed 17,688,030 shares, consisting of any shares of our Class A common stock subject to outstanding awards granted under the 2015 Plan that terminate or expire prior to exercise or settlement; are not issued because the award is settled in cash; are forfeited or repurchased because of the failure to vest; or are reacquired or withheld (or not issued) to satisfy a tax withholding obligation or the purchase or exercise price, if any; provided that any such shares described in clause (2) above that are shares of our Class B common stock will be added to the share reserve of our 2021 Plan as shares of our Class A common stock. The number of shares of our Class A common stock reserved for issuance under the 2021 Plan will automatically increase on January 1 of each year for a period of 10 years pursuant to the Automatic Share Reserve Increase provision. The maximum number of shares of our Class A common stock that may be issued on the exercise of ISOs under the 2021 Plan is 100,000,000 shares.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2021 Plan that expire or terminate without being exercised in full or that are paid out in cash rather than in shares will not reduce the number of shares available for issuance under the 2021 Plan. Shares withheld under a stock award to satisfy the exercise, strike, or purchase price of a stock award or to satisfy a tax withholding obligation will not reduce the number of shares available for issuance under the 2021 Plan. If any shares of our Class A common stock issued pursuant to a stock award are forfeited back to or repurchased or reacquired by us (1) because of a failure to meet a contingency or condition required for the vesting of such shares; (2) to satisfy the exercise, strike, or purchase price of a stock award; or (3) to satisfy a tax withholding obligation in connection with a stock award, such shares will revert to and again become available for issuance under the 2021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or a duly authorized committee thereof, administers the 2021 Plan. Our Board may delegate to one or more of our officers the authority to (1) designate employees (other than officers) to receive specified stock awards; and (2) determine the number of shares subject to such stock awards. Under the 2021 Plan, our Board has the authority to determine stock award recipients, the types of stock awards to be granted, grant dates, the number of shares subject to each stock award, the fair market value of our Class A common stock, and the provisions of each stock award, including the period of exercisability and the vesting schedule applicable to a stock award. </w:t>
      </w:r>
    </w:p>
    <w:p>
      <w:pPr>
        <w:pStyle w:val="TextBody"/>
        <w:bidi w:val="0"/>
        <w:spacing w:before="240" w:after="0"/>
        <w:jc w:val="left"/>
        <w:rPr>
          <w:rFonts w:ascii="Times New Roman" w:hAnsi="Times New Roman"/>
          <w:sz w:val="20"/>
        </w:rPr>
      </w:pPr>
      <w:r>
        <w:rPr>
          <w:rFonts w:ascii="Times New Roman" w:hAnsi="Times New Roman"/>
          <w:sz w:val="20"/>
        </w:rPr>
        <w:t xml:space="preserve">Under the 2021 Plan, our Board also generally has the authority to effect, with the consent of any materially adversely affected participant, (1) the reduction of the exercise, purchase, or strike price of any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 or SAR; (2) the cancellation of any outstanding option or SAR and the grant in substitution therefore of other awards, cash, or other consideration; or (3) any other action that is treated as a repricing under generally accepted accounting principles (“GAAP”).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administrator. The administrator will determine the exercise price for stock options, within the terms and conditions of the 2021 Plan, except the exercise price of a stock option generally will not be less than 100% of the fair market value of our Class A common stock on the date of grant. Options granted under the 2021 Plan will vest at the rate specified in the stock option agreement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will determine the term of stock options granted under the 2021 Plan, up to a maximum of 10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Class A common stock issued upon the exercise of a stock option will be determined by the administrator and may include (1) cash, check, bank draft, or money order; (2) a broker-assisted cashless exercise; (3) the tender of shares of our Class A common stock previously owned by the optionholder; (4) a net exercise of the option if it is an NSO; or (5) other legal consideration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our Class A 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RSU awards</w:t>
      </w:r>
      <w:r>
        <w:rPr>
          <w:rFonts w:ascii="Times New Roman" w:hAnsi="Times New Roman"/>
          <w:sz w:val="20"/>
        </w:rPr>
        <w:t xml:space="preserve">. RSU awards are granted under RSU award agreements adopted by the administrator. RSU awards may be granted in consideration for any form of legal consideration that may be acceptable to our Board. An RSU award may be settled by cash, delivery of stock, a combination of cash and stock as deemed appropriate by the administrator, or in any other form of consideration set forth in the RSU award agreement. Additionally, dividend equivalents may be credited in respect of shares covered by an RSU award. Except as otherwise provided in the applicable award agreement, RSU awards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RSAs are granted under RSA agreements adopted by the administrator. An RSA may be awarded in consideration for cash, check, bank draft or money order, past or future services to us, or any other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legal consideration that may be acceptable to our Board. The administrator will determine the terms and conditions of RSAs,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SARs are granted under SAR agreements adopted by the administrator. The administrator will determine the purchase price or strike price for a SAR, which generally will not be less than 100% of the fair market value of our Class A common stock on the date of grant. A SAR granted under the 2021 Plan will vest at the rate specified in the SAR agreement as will be determined by the administrator. SARs may be settled in cash or shares of our Class A common stock or in any other form of payment as determined by our Board and specified in the SAR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will determine the term of SARs granted under the 2021 Plan, up to a maximum of 10 years. If a participant’s service relationship with us or any of our affiliates ceases for any reason other than cause, disability, or death, the participant may generally exercise any vested SAR for a period of three months following the cessation of service. This period may be further extended in the event that exercise of the SAR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SAR for a period of 12 months in the event of disability and 18 months in the event of death. In the event of a termination for cause, SARs generally terminate upon the termination date. In no event may a SAR be exercised beyond the expiration of its term.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2021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any measure of performance 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at the time the performance award is granted, our Board will appropriately make adjustments in the method of calculating the attainment of performance goals as follows: (1) to exclude restructuring or other nonrecurring charges; (2) 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GAAP; and (11) to exclude the goodwill and intangible asset impairment charges that are required to be recorded under GAAP.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is permitted to grant other awards based in whole or in part by reference to our Class A common stock. The administrator will set the number of shares under the stock award (or cash equivalent) and all other terms and conditions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including awards granted and cash fees paid by us to such non-employee director, will not exceed $750,000 in total value, or if such non-employee director is first appointed or elected to our Board during such calendar year, $1,000,000 in total value.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our capital structure, such as a stock split, reverse stock split, 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below), unless otherwise provided in a participant’s stock award agreement or otherwise expressly provided by the administrator at the time of grant,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(1)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(2)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(1) the value of the property the participant would have received upon the exercise of the stock award, over (2)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2021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Stock awards granted under the 2021 Plan may be subject to acceleration of vesting and exercisability upon or after a change in control (as defined below) as may be provided in the applicable stock award agreement or in any other written agreement between us or any affiliate and the participant, but in the absence of such provision, no such acceleration will automatically occur. </w:t>
      </w:r>
    </w:p>
    <w:p>
      <w:pPr>
        <w:pStyle w:val="TextBody"/>
        <w:bidi w:val="0"/>
        <w:spacing w:before="240" w:after="0"/>
        <w:jc w:val="left"/>
        <w:rPr>
          <w:rFonts w:ascii="Times New Roman" w:hAnsi="Times New Roman"/>
          <w:sz w:val="20"/>
        </w:rPr>
      </w:pPr>
      <w:r>
        <w:rPr>
          <w:rFonts w:ascii="Times New Roman" w:hAnsi="Times New Roman"/>
          <w:sz w:val="20"/>
        </w:rPr>
        <w:t xml:space="preserve">Under the 2021 Plan, a “change in control” is generally defined as (1) the acquisition by any person or company of more than 50% of the combined voting power of our then-outstanding stock; (2) a merger, consolidation,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 of our Board becomes comprised of individuals who were not serving on our Board on November 2, 2021, or the incumbent board, or whose nomination, appointment, or election was not approved by a majority of the incumbent board still in office. </w:t>
      </w:r>
    </w:p>
    <w:p>
      <w:pPr>
        <w:pStyle w:val="TextBody"/>
        <w:bidi w:val="0"/>
        <w:spacing w:before="240" w:after="0"/>
        <w:jc w:val="left"/>
        <w:rPr>
          <w:rFonts w:ascii="Times New Roman" w:hAnsi="Times New Roman"/>
          <w:sz w:val="20"/>
        </w:rPr>
      </w:pPr>
      <w:r>
        <w:rPr>
          <w:rFonts w:ascii="Times New Roman" w:hAnsi="Times New Roman"/>
          <w:i/>
          <w:sz w:val="20"/>
        </w:rPr>
        <w:t>Clawback/Recovery</w:t>
      </w:r>
      <w:r>
        <w:rPr>
          <w:rFonts w:ascii="Times New Roman" w:hAnsi="Times New Roman"/>
          <w:sz w:val="20"/>
        </w:rPr>
        <w:t xml:space="preserve">. All awards granted under the 2021 Plan are subject to recoupment in accordance with our Clawback Policy. In addition, the Board may impose such other clawback, recovery or recoupment provisions in an award agreement as the Board determines necessary or appropriate.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Our Board has the authority to amend, suspend, or terminate the 2021 Plan at any time, provided that such action does not materially impair the existing rights of any participant without such participant’s written consent. Certain material amendments also require the approval of our stockholders. No ISOs may be granted after the tenth anniversary of September 13, 2021. No stock awards may be granted under the 2021 Plan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to participants in the 2021 Plan and the Company.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in which the participant may reside. As a result, tax consequences for any particular participant may vary based on individual circumstances. This summary is not intended as tax advice to participants, who should consult their own tax advisors. </w:t>
      </w:r>
    </w:p>
    <w:p>
      <w:pPr>
        <w:pStyle w:val="TextBody"/>
        <w:bidi w:val="0"/>
        <w:spacing w:before="240" w:after="0"/>
        <w:jc w:val="left"/>
        <w:rPr>
          <w:rFonts w:ascii="Times New Roman" w:hAnsi="Times New Roman"/>
          <w:sz w:val="20"/>
        </w:rPr>
      </w:pPr>
      <w:r>
        <w:rPr>
          <w:rFonts w:ascii="Times New Roman" w:hAnsi="Times New Roman"/>
          <w:i/>
          <w:sz w:val="20"/>
        </w:rPr>
        <w:t>ISOs</w:t>
      </w:r>
      <w:r>
        <w:rPr>
          <w:rFonts w:ascii="Times New Roman" w:hAnsi="Times New Roman"/>
          <w:sz w:val="20"/>
        </w:rPr>
        <w:t xml:space="preserve">. A participant generally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NSOs</w:t>
      </w:r>
      <w:r>
        <w:rPr>
          <w:rFonts w:ascii="Times New Roman" w:hAnsi="Times New Roman"/>
          <w:sz w:val="20"/>
        </w:rPr>
        <w:t xml:space="preserve">. 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NSO, any gain or loss (based on the difference between the sale price and the fair market value on the exercise date)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 xml:space="preserve">SARs. </w:t>
      </w:r>
      <w:r>
        <w:rPr>
          <w:rFonts w:ascii="Times New Roman" w:hAnsi="Times New Roman"/>
          <w:sz w:val="20"/>
        </w:rPr>
        <w:t xml:space="preserve">In general, no taxable income for ordinary income tax purposes is reportable when a SAR is granted to a participant. Upon exercise, the participant generally will recognize ordinary income in an amount equal to the fair market value of any shares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RSAs</w:t>
      </w:r>
      <w:r>
        <w:rPr>
          <w:rFonts w:ascii="Times New Roman" w:hAnsi="Times New Roman"/>
          <w:sz w:val="20"/>
        </w:rPr>
        <w:t xml:space="preserve">.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an RSA,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 xml:space="preserve">RSUs and Performance Awards. </w:t>
      </w:r>
      <w:r>
        <w:rPr>
          <w:rFonts w:ascii="Times New Roman" w:hAnsi="Times New Roman"/>
          <w:sz w:val="20"/>
        </w:rPr>
        <w:t xml:space="preserve">There generally are no immediate tax consequences of receiving an award of RSUs or a performance award. A participant who is granted RSUs or performance awards generally will be required to recognize ordinary income in an amount equal to the fair market value of shares issued to such participant at the time of settlement of the award upon vesting. If the participant is an employee, generally such ordinary income is subject to income tax withholding and certain employment tax withholdings. Any additional gain or loss recognized upon any later disposition of any shares received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Section 409A of the Code (“Section 409A”) provides certain requirements for non-qualified deferred compensation arrangements with respect to an individual’s deferral and distribution elections and permissible distribution events. Certain awards, depending in part on the specific terms and conditions of such awards, may be considered non-qualified deferred compensation subject to the requirements of Section 409A. For example, an award with a deferral feature granted under the 2021 Plan to a participant subject to U.S. income tax will be subject to the requirements of Section 409A. If an award is not exempt from Section 409A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requirements of Section 409A, Section 409A imposes an additional 20% federal income tax on compensation recognized as ordinary income, as well as interest on such deferred compensation. </w:t>
      </w:r>
    </w:p>
    <w:p>
      <w:pPr>
        <w:pStyle w:val="TextBody"/>
        <w:bidi w:val="0"/>
        <w:spacing w:before="240" w:after="0"/>
        <w:jc w:val="left"/>
        <w:rPr>
          <w:rFonts w:ascii="Times New Roman" w:hAnsi="Times New Roman"/>
          <w:sz w:val="20"/>
        </w:rPr>
      </w:pPr>
      <w:r>
        <w:rPr>
          <w:rFonts w:ascii="Times New Roman" w:hAnsi="Times New Roman"/>
          <w:i/>
          <w:sz w:val="20"/>
        </w:rPr>
        <w:t>Tax Effect for the Company</w:t>
      </w:r>
      <w:r>
        <w:rPr>
          <w:rFonts w:ascii="Times New Roman" w:hAnsi="Times New Roman"/>
          <w:sz w:val="20"/>
        </w:rPr>
        <w:t xml:space="preserve">. We generally will be entitled to a tax deduction in connection with an award under the 2021 Plan in an amount equal to the ordinary income realized by a participant and at the time the participant recognizes such income (for example, the exercise of an NSO) except to the extent such deduction is limited by applicable provisions of the Code. Special rules limit the deductibility of compensation paid to our chief executive officer and certain “covered employees” as determined under Section 162(m) of the Code and applicable guidance. Under Section 162(m) of the Code, the annual compensation paid to any of these specified individuals will be deductible only to the extent that it does not exceed $1,000,000.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THE EFFECT OF U.S. FEDERAL INCOME TAXATION UPON PARTICIPANTS AND THE COMPANY WITH RESPECT TO AWARDS UNDER THE 2021 PLAN. IT DOES NOT PURPORT TO BE COMPLETE AND DOES NOT DISCUSS THE IMPACT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EMPLOYMENT OR OTHER TAX REQUIREMENTS, THE TAX CONSEQUENCES OF A PARTICIPANT’S DEATH, OR THE PROVISIONS OF THE INCOME TAX LAWS OF ANY MUNICIPALITY, STATE, OR NON-U.S. JURISDICTION IN WHICH THE PARTICIPANT MAY RESIDE.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an amendment to the Registration Statement on Form S-8 currently filed with the SEC relating to the issuance of shares under the 2021 Plan with the SEC pursuant to the Securities Act of 1933, as amended (the “Securities Act”), if Amendment No. 1 is approved by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Table </w:t>
      </w:r>
    </w:p>
    <w:p>
      <w:pPr>
        <w:pStyle w:val="TextBody"/>
        <w:bidi w:val="0"/>
        <w:spacing w:before="120" w:after="0"/>
        <w:jc w:val="left"/>
        <w:rPr>
          <w:rFonts w:ascii="Times New Roman" w:hAnsi="Times New Roman"/>
          <w:sz w:val="20"/>
        </w:rPr>
      </w:pPr>
      <w:r>
        <w:rPr>
          <w:rFonts w:ascii="Times New Roman" w:hAnsi="Times New Roman"/>
          <w:sz w:val="20"/>
        </w:rPr>
        <w:t xml:space="preserve">No awards have been granted to any officer, director, employee or consultant pursuant to the 2021 Plan that are contingent upon the approval by our stockholders of Amendment No. 1. We anticipate that other equity-based awards may be granted in the Compensation Committee’s discretion under the 2021 Plan out of the additional shares of common stock to be reserved for issuance in connection with the approval of Amendment No. 1; however, the number of shares of common stock that may be so granted will be based upon various prospective factors, including the nature of services to be rendered by our employees, officers, non-employee directors and consultants, and their potential contributions to our success. Accordingly, the number, type, and grantees of actual future awards cannot be determined at this time. However, please refer to the section entitled “Executive Compensation” for information on the grants made to named executive officers in the previous fiscal year and the section entitled “Non-Employee Director Compensation” for a description of grants made to our non-employee directors in the previous fiscal year. </w:t>
      </w:r>
    </w:p>
    <w:p>
      <w:pPr>
        <w:pStyle w:val="TextBody"/>
        <w:bidi w:val="0"/>
        <w:spacing w:before="360" w:after="0"/>
        <w:jc w:val="left"/>
        <w:rPr>
          <w:rFonts w:ascii="Times New Roman" w:hAnsi="Times New Roman"/>
          <w:b/>
          <w:sz w:val="20"/>
        </w:rPr>
      </w:pPr>
      <w:bookmarkStart w:id="22" w:name="toc174786_23"/>
      <w:bookmarkEnd w:id="22"/>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 majority of the voting power of the shares present in person, by remote communication, or represented by proxy duly authorized at the meeting and voting affirmatively or negatively (excluding abstentions and broker non-votes) on the matter at the Annual Meeting will be required to approve an amendment to the Company’s 2021 Plan to increase the number of shares authorized for issuance under the 2021 Plan.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74786_24"/>
      <w:bookmarkEnd w:id="23"/>
      <w:r>
        <w:rPr>
          <w:rFonts w:ascii="Times New Roman" w:hAnsi="Times New Roman"/>
          <w:b/>
          <w:sz w:val="20"/>
        </w:rPr>
        <w:t xml:space="preserve">PROPOSAL 3: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FOR PURPOSES OF COMPLYING WITH NASDAQ LISTING RULE 5635(D), OF THE ISSUANCE OF SHARES OF OUR CLASS A COMMON STOCK REPRESENTING MORE THAN 19.99% UPON THE CONVERSION OF CERTAIN CONVERTIBLE NOTES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currently listed on the Nasdaq Global Select Market. We are subject to Nasdaq Listing Rule 5635(d) (the “Nasdaq 20% Rule”), which requires us to obtain stockholder approval when we enter into a transaction, other than a public offering, involving the sale, issuance or potential issuance by the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 at a price that is the lower of: (i) the Nasdaq Official Closing Price immediately preceding the signing of the binding agreement; or (ii) the average Nasdaq Official Closing Price of the common stock for the five trading days immediately preceding the signing of the binding agreement (the “Minimum Price”). All capitalized terms used in this section, but not otherwise defined in this proxy statement, shall have the meaning ascribed to such term in the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Notes Private Placements </w:t>
      </w:r>
    </w:p>
    <w:p>
      <w:pPr>
        <w:pStyle w:val="TextBody"/>
        <w:bidi w:val="0"/>
        <w:spacing w:before="120" w:after="0"/>
        <w:jc w:val="left"/>
        <w:rPr>
          <w:rFonts w:ascii="Times New Roman" w:hAnsi="Times New Roman"/>
          <w:sz w:val="20"/>
        </w:rPr>
      </w:pPr>
      <w:r>
        <w:rPr>
          <w:rFonts w:ascii="Times New Roman" w:hAnsi="Times New Roman"/>
          <w:sz w:val="20"/>
        </w:rPr>
        <w:t xml:space="preserve">On April 19, 2026, we entered into an Amended and Restated Securities Purchase Agreement (the “Securities Purchase Agreement”) with an institutional investor, pursuant to which we agreed to issue and sell in multiple closings, senior secured convertible notes (the “Convertible Notes”) in an aggregate original principal amount of up to $50.0 million, convertible into shares of our Class A common stock. On June 15, 2026, we and the investor party thereto entered into Amendment No. 1 to the Securities Purchase Agreement (the “First Amendment”) to, among other changes, increase the amount of Convertible Notes that we may issue and sell by $50.0 million, for an aggregate original principal amount of up to $100.0 million (the “Facility”). The additional $50.0 million of Convertible Notes provided for in the First Amendment are hereinafter referred to as the “Amendment Convertible Notes.” The proceeds of the Facility are anticipated to be used primarily for general corporate purposes and the acquisition and monetization of graphics processing units, related high-performance computing infrastructure capable to support high workloads (whether from artificial intelligence and machine learning or other needs of potential future customers) and other related assets (“Electronics Assets”).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if issued, would be issued in multiple closings. On April 19, 2026, we issued the initial Convertible Note to the holder thereof in the aggregate principal amount of $3.25 million. Following the receipt of stockholder approval at a Special Meeting of Stockholders of the Company held on June 3, 2026, we issued an additional $5.0 million of Convertible Notes to the holders thereof on June 4, 2026. The remaining additional tranches, in an aggregate principal amount of up to $91.75 million in Convertible Notes, may be sold solely at the option of the holders of the Convertible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if issued, will be issued with a 5% original issue discount. The Convertible Notes will be issued in certificated form and not as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Maturity Date </w:t>
      </w:r>
    </w:p>
    <w:p>
      <w:pPr>
        <w:pStyle w:val="TextBody"/>
        <w:bidi w:val="0"/>
        <w:spacing w:before="120" w:after="0"/>
        <w:jc w:val="left"/>
        <w:rPr>
          <w:rFonts w:ascii="Times New Roman" w:hAnsi="Times New Roman"/>
          <w:sz w:val="20"/>
        </w:rPr>
      </w:pPr>
      <w:r>
        <w:rPr>
          <w:rFonts w:ascii="Times New Roman" w:hAnsi="Times New Roman"/>
          <w:sz w:val="20"/>
        </w:rPr>
        <w:t xml:space="preserve">Unless earlier converted, or redeemed, the Convertible Notes will mature on the second anniversary of the date of issuance, which we refer to herein as the “Maturity Date,” subject to the right of the holders of the Convertible Notes to extend the date: </w:t>
      </w:r>
    </w:p>
    <w:p>
      <w:pPr>
        <w:pStyle w:val="TextBody"/>
        <w:bidi w:val="0"/>
        <w:spacing w:before="240" w:after="0"/>
        <w:jc w:val="left"/>
        <w:rPr>
          <w:rFonts w:ascii="Times New Roman" w:hAnsi="Times New Roman"/>
          <w:sz w:val="20"/>
        </w:rPr>
      </w:pPr>
      <w:r>
        <w:rPr>
          <w:rFonts w:ascii="Times New Roman" w:hAnsi="Times New Roman"/>
          <w:sz w:val="20"/>
        </w:rPr>
        <w:t xml:space="preserve">(i) if an event of default under the Convertible Notes has occurred and is continuing (or any event shall have occurred and be continuing that with the passage of time and the failure to cure would result in an event of default under the Convertible Notes);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for a period of 20 business days after the consummation of a fundamental transaction if certain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on the Maturity Date, all outstanding principal, accrued and unpaid interest and accrued and unpaid late charges on such principal and interest,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bear interest at the rate of 12.0% per annum which (a) shall commence accruing on the date of issuance, (b) shall be computed on the basis of a 360-day year and twelve 30-day months and (c) shall be payable, subject to the satisfaction of customary equity conditions, in shares of our Class A common stock or, at our option, in cash, in arrears on the first calendar day of each calendar quarter, commencing on the three-month anniversary of the issuance date (each, an “Interest Date”). If a holder elects to convert or redeem all or any portion of a Convertible Note prior to the Maturity Date, all accrued and unpaid interest on the amount being converted or redeemed will also be payable.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of the Convertible Notes will automatically increase to 17% per annum (the “Default Rate”) upon the occurrence and continuance of an event of default (See “- Events of Default”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will be senior secured obligations of the Company (subject only to certain permitted indebtedness), which shall be secured by the assets of the Company and its subsidiaries. Subject to the foregoing, until such date no Convertible Notes remain outstanding, all payments due under the Convertible Notes will be senior to all of our other indebtedness and other indebtedness of any of our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Late Charges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pay a late charge not in excess of 17% on any amount of principal or other amounts that are not paid when due.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i/>
          <w:sz w:val="20"/>
        </w:rPr>
      </w:pPr>
      <w:r>
        <w:rPr>
          <w:rFonts w:ascii="Times New Roman" w:hAnsi="Times New Roman"/>
          <w:i/>
          <w:sz w:val="20"/>
        </w:rPr>
        <w:t xml:space="preserve">Conversions at Option of Holder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Convertible Notes may convert all, or any part, of the outstanding principal of the Convertible Notes, together with accrued and unpaid interest, any make-whole amount and any late charges thereon, at any time, at such holder’s option, into our Class A common stock at the “Conversion Price” of (i) $2.988 for up to the first $50 million of Convertible Notes and (ii) $4.000 for the remaining Convertible Notes (subject to proportional adjustment upon the occurrence of any stock split, stock dividend, stock combination and/or similar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Alternate Conversion at Option of Holder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Convertible Notes may also convert all, or any part, of the outstanding principal of the Convertible Notes, together with accrued and unpaid interest, any make-whole amount and any late charges thereon (subject to an additional 25% premium if an Event of Default then exists), at any time, at such holder’s option, into our Class A common stock at the “Alternate Conversion Price” calculated as follows: the lower of: (i) the Conversion Price then in effect; and (ii) either, (A) if no event of default then exists, 93% of the lowest volume weighted average price of our Class A common stock during the ten (10) consecutive trading days ending and including the trading day immediately preceding the delivery or deemed delivery of the applicable conversion notice; or (B) if an event of default then exists, 85% of the lowest volume weighted average price of our Class A common stock during the fifteen (15) consecutive trading days ending and including the trading day immediately preceding the delivery or deemed delivery of the applicable conversion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Floor Price Adjustment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are subject to a “Floor Price,” which represents the minimum price at which the Convertible Notes may be converted into shares of our Class A common stock. On each six-month anniversary of the issuance date of each Convertible Note, the Floor Price will automatically adjust to the lower of (i) the then-current Floor Price and (ii) 20% of the Nasdaq Minimum Price (as defined below) as of such date. “Nasdaq Minimum Price” means the lower of (x) the closing sale price of our Class A common stock on the trading day immediately preceding the applicable adjustment date and (y) the average closing sale price of our Class A common stock for the five consecutive trading days ending on the trading day immediately preceding the applicable adjustment date. As a result, the Floor Price-and therefore the minimum conversion price-may decrease over time, which could result in additional shares of Class A common stock being issued upon conversion, causing additional dilution to existing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Price is subject to customary adjustments for stock splits, stock dividends, stock combinations, and similar transactions. In addition, the Convertible Notes contain anti-dilution protection. If we issue or sell, or are deemed to have issued or sold, any shares of Class A common stock (or securities convertible into or exercisable for Class A common stock) at a price per share lower than the Conversion Price then in effect, the Conversion Price will be reduced to equal such lower price. This adjustment mechanism applies to most equity issuances by the Company, subject to certain exceptions for issuances pursuant to employee benefit plans, strategic transactions approved by the holders of the Convertible Notes, permitted “at-the-market” programs, and certain other exempt issuances.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this anti-dilution protection, future equity issuances by us at prices below the then-applicable Conversion Price could reduce the Conversion Price and result in a greater number of shares of our Class A common stock being issuable upon conversion of the Convertible Notes, causing additional dilution to existing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Voluntary Adjustment Right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rules and regulations of Nasdaq, we have the right, at any time, with the written consent of the holders, to lower the Conversion Price to any amount and for any period of time deemed appropriate by our Board.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us. The maximum beneficial ownership limitation may not be waived or amended and will apply to any successor holder of a Convertible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contain standard and customary events of default, including but not limited to: (i) the suspension from trading or the failure to list our Class A common stock within certain time periods; (ii) failure to make payments when due under the Convertible Notes; and (iii) bankruptcy or insolvency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each holder may require us to redeem all or any portion of the Convertible Notes (including all accrued and unpaid interest and late charges thereon), in cash, at a 25% redemption premium to the greater of the face value and the equity value of our Class A common stock underlying the Convertible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equity value of our Class A common stock underlying the Convertible Notes is calculated using the greatest closing sale price of our Class A common stock on any trading day immediately preceding such event of default and the date we make the entire payment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Bankruptcy Event of Default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any bankruptcy event of default occurs, we shall immediately redeem in cash all amounts due under the Convertible Notes at a 25% premium, unless the holder waives such right to receive such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prohibit us from entering specified fundamental transactions (including, without limitation, mergers, business combinations and similar transactions) unless we (or our successor) is a public company that assumes in writing all of our obligations under the Convertible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Redemption Right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 change of control of the Company, each holder may require us to redeem in cash all, or any portion, of the Convertible Notes at a 25% redemption premium to the greater of (i) the face value of the Convertible Notes to be redeemed, (ii) the equity value of our Class A common stock underlying such Convertible Notes, and (iii) the equity value of the change of control consideration payable to the holder of our Class A common stock underlying such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equity value of our Class A common stock underlying the Convertible Notes is calculated using the greatest closing sale price of our Class A common stock during the period immediately preceding the earlier of the consummation or the public announcement of the change of control and ending the date the holder gives notice of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equity value of the change of control consideration payable to the holder of our Class A common stock underlying the Convertible Notes is calculated using the aggregate cash consideration and the aggregate cash value of any non-cash consideration per share of our Class A common stock to be paid to the holders of our Class A common stock upon the change of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Subsequent Placement and Asset Transfer Redemption Right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Notes may require us to redeem the Convertible Notes, in whole or in part, upon the occurrence of certain offerings of equity or equity-linked securities and/or any asset transfer or sale. If such an event occurs, we would be required to redeem Convertible Notes using 25% of the gross proceeds of any subsequent placement and 100% of the gross proceeds of any asset transfer or sale,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contain a variety of obligations on our part not to engage in specified activities, which are typical for transactions of this type, as well as the following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cause our subsidiaries not to, directly or indirectly, incur or guarantee any indebtedness other than Permitted Indebtedness (as defined in the Convertible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redeem or repay all or any portion of any indebtedness if at the time the payment is due or is made or, after giving effect to the payment, an event constituting, or that with the passage of time and without being cured would constitute, an event of default under the Convertible Notes has occurred and is continuing;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engage in a material line of business substantially different from those lines of business conducted or contemplated to be conducted as of the date of the issuance of the Convertible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maintain and preserve our existence and become or remain duly qualified and in good standing in each jurisdiction in which the transaction of our business makes such qualification necessary;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maintain and preserve all of our properties which are necessary or useful in the proper conduct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take all action necessary or advisable to maintain all of our intellectual property rights that are necessary or material to the conduct of our business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maintain insurance in such amounts and covering such risks as is required by any governmental authority having jurisdiction with respect thereto or as is in accordance with sound business practice by similarly situated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enter into, renew, extend or be a party to, any transaction or series of related transactions with any affiliate, except (i) intercompany transactions, (ii) reasonable and customary director, officer and employee benefits plans and indemnification arrangements approved by our Board, and (ii) transactions in the ordinary course of business and on terms that are comparable to an arm’s length transaction with a non-affiliate;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not, directly or indirectly, without the prior written consent of the holders of a majority in aggregate principal amount of the Convertible Notes then outstanding, (i) issue any Convertible Notes (other than as contemplated by the Securities Purchase Agreement) or (ii) issue any other securities that would cause a breach or default under the Convertible Notes, unless the proceeds from the issuance are used to repay all amounts due on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pay when due all taxes, fees or other charges of any nature whatsoever now or hereafter imposed or assessed on us, subject to certain exceptions;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request of the holder, we will hire an independent, reputable investment bank to investigate whether any breach of the Convertible Notes has occurred if an event constituting, or that with the passage of time and without being cured would constitute, an event of default has occurred and is continuing or any holder reasonably believes that an event constituting an event of default has occurred or is continuing.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to the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Each Convertible Note may not be changed or amended without the prior written consent of the holder of such Convertible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will be governed by, and construed in accordance with, the laws of Delaware without regard to its conflicts of law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Securities Purchase Agreement and First Amendment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contains customary representations, warranties and covenants. 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Purchase Agreement, at any time on or prior to the second anniversary of the initial closing date (or, if later, the date no Convertible Notes remain outstanding), the holders of the Convertible Notes have the right to co-invest for at least 55% of any of the Company’s future financing deals on the same terms as other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granted to the holders of the Convertible Notes customary demand and piggyback registration rights with respect to the shares of Class A common stock underlying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Purchase Agreement, we agreed to seek stockholder approval of the issuance of shares of Class A common stock upon the conversion of the Convertible Notes, if any, that would exceed 19.9% of our issued and outstanding Class A common stock (calculated in accordance with the rules of Nasdaq as of the date of the Securities Purchase Agreement), in order to comply with the rules and regulations of Nasdaq. At a Special Meeting of Stockholders of the Company held on June 3, 2026, we received the required stockholder approval with respect to the initial $50.0 million of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Amendment Convertible Notes, in the First Amendment, we agreed to seek stockholder approval of the issuance of shares of Class A common stock upon the conversion of such Convertible Notes, if any, that would exceed 19.9% of our issued and outstanding Class A common stock (calculated in accordance with the rules of Nasdaq as of the date of the First Amendment), in order to comply with the rules and regulations of Nasdaq.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we have granted to the holders of the Convertible Notes customary registration rights with respect to the shares of Class A common stock underlying the Convertible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proceeds from the Facility are anticipated to be used for general corporate purposes and the acquisition and monetization of Electronics Assets.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Facility </w:t>
      </w:r>
    </w:p>
    <w:p>
      <w:pPr>
        <w:pStyle w:val="TextBody"/>
        <w:bidi w:val="0"/>
        <w:spacing w:before="120" w:after="0"/>
        <w:jc w:val="left"/>
        <w:rPr>
          <w:rFonts w:ascii="Times New Roman" w:hAnsi="Times New Roman"/>
          <w:sz w:val="20"/>
        </w:rPr>
      </w:pPr>
      <w:r>
        <w:rPr>
          <w:rFonts w:ascii="Times New Roman" w:hAnsi="Times New Roman"/>
          <w:sz w:val="20"/>
        </w:rPr>
        <w:t xml:space="preserve">We have recently become an AI infrastructure provider. The proceeds from the Facility would permit us to purchase Electronics Assets and develop and expand our new business. The Board believes that the ability to continue as a going concern, and for stockholders to continue to have their shares listed and traded on Nasdaq, following the recent sale of the Allbirds brand and footwear assets, is beneficial and in the best interests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 to Seek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At the time that we entered into the First Amendment, we agreed that we would not convert any Amendment Convertible Notes into shares of Class A common stock to the extent that such conversion would cause the holder of the Amendment Convertible Notes to become the beneficial owner of more than 19.99% of the then outstanding Class A common stock, after giving effect to such conversion, unless we first obtain stockholder approval in accordance with the applicable rules of Nasdaq. Further, the Securities Purchase Agreement provides that we may not issue any shares of Class A common stock under such agreement if such issuance would breach any applicable rule of Nasdaq, including the Nasdaq 20% Rule. Accordingly, to comply with these requirements, we are seeking stockholder approval to allow the conversion of the Amendment Convertible Notes, and to permit the issuance of all shares of Class A common stock issuable upon conversion of the Amendment Convertible Notes, including pursuant to any future adjustments to the respective conversion prices in accordance with the terms of the Amendment Convertible Notes, to the extent that such conversions and issuances would exceed the Nasdaq 20% Rule.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Approval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by our stockholders, the Amendment Convertible Notes would be convertible into a number of shares of Class A common stock that exceeds the Nasdaq 20% Rule. The Amendment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are prohibited from being converted to the extent such conversion or issuance would result in any holder of such Convertible Notes (together with its affiliates) beneficially owning more than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an Amendment Convertible Note.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Adverse Effects – Dilution and Impact on Current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Class A common stock to the holders of the Amendment Convertible Notes, pursuant to the conversion of the Amendment Convertible Notes, will have a dilutive effect on current stockholders, including the voting power and economic rights of the existing stockholders. The percentage ownership of the Company held by such current stockholders will decline as a result of the issuance of the shares issuable to the holders of the Amendment Convertible Notes. This means that our current stockholders will own a smaller interest in us as a result of such issuance and therefore have less ability to influence significant corporate decisions requiring stockholder approval. Issuance of the shares of Class A common stock to the holders of the Amendment Convertible Notes could also have a dilutive effect on the book value per share and any future earnings per share. Dilution of equity interests could also cause prevailing market prices for our Class A common stock to decline. In addition, because the Conversion Price is subject to reduction in the event that we issue shares of Class A common stock at a price below the then-applicable Conversion Price, future equity issuances by us at lower prices could result in the issuance of a significantly greater number of shares of Class A common stock upon conversion of the Amendment Convertible Notes, resulting in further dilution to existing stockholders. The dilutive effect of the issuance to the holders of the Amendment Convertible Notes may be material to the current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reflects the beneficial ownership (as determined under Section 13(d) of the Exchange Act and the rules and regulations thereunder) of the holders of the Convertible Notes of shares of our Class A common stock, immediately prior to, and immediately following, the assumed conversion of different aggregate amounts of the Convertible Notes. Each of the following scenarios assumes: (i) 9,315,794 shares of Class A common stock outstanding on the Record Date; (ii) the conversion of the indicated aggregate principal amount of Convertible Notes, notwithstanding that only $8.25 million in aggregate principal amount of the Convertible Notes is currently outstanding; (iii) the conversion of the Convertible Notes at $2.988 for the initial $50.0 million of Convertible Notes and at $4.000 for the Amendment Convertible Notes; and (iv) that the 4.99% beneficial ownership limitation does not apply. The conversion of the Convertible Notes will not dilute the outstanding Class B common stock, which will continue to be outstanding and will continue to have 10 votes for every one vote of a share of Class A common stock. For additional information regarding the beneficial ownership limitation, please see “—Description of Notes—Beneficial Ownership Limitation” above in this proposal. </w:t>
      </w:r>
    </w:p>
    <w:p>
      <w:pPr>
        <w:pStyle w:val="TextBody"/>
        <w:bidi w:val="0"/>
        <w:spacing w:before="0" w:after="0"/>
        <w:jc w:val="left"/>
        <w:rPr/>
      </w:pPr>
      <w:r>
        <w:rPr/>
        <w:t> </w:t>
      </w:r>
    </w:p>
    <w:tbl>
      <w:tblPr>
        <w:tblW w:w="10435" w:type="dxa"/>
        <w:jc w:val="left"/>
        <w:tblInd w:w="0" w:type="dxa"/>
        <w:tblLayout w:type="fixed"/>
        <w:tblCellMar>
          <w:top w:w="0" w:type="dxa"/>
          <w:left w:w="0" w:type="dxa"/>
          <w:bottom w:w="0" w:type="dxa"/>
          <w:right w:w="0" w:type="dxa"/>
        </w:tblCellMar>
      </w:tblPr>
      <w:tblGrid>
        <w:gridCol w:w="193"/>
        <w:gridCol w:w="1522"/>
        <w:gridCol w:w="60"/>
        <w:gridCol w:w="120"/>
        <w:gridCol w:w="139"/>
        <w:gridCol w:w="2566"/>
        <w:gridCol w:w="60"/>
        <w:gridCol w:w="120"/>
        <w:gridCol w:w="141"/>
        <w:gridCol w:w="2594"/>
        <w:gridCol w:w="60"/>
        <w:gridCol w:w="120"/>
        <w:gridCol w:w="294"/>
        <w:gridCol w:w="2156"/>
        <w:gridCol w:w="290"/>
      </w:tblGrid>
      <w:tr>
        <w:trPr/>
        <w:tc>
          <w:tcPr>
            <w:tcW w:w="19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1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Aggregate Principal</w:t>
              <w:br/>
              <w:t>Amount of Convertible</w:t>
              <w:br/>
              <w:t>Notes Converted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Class A Common Stock</w:t>
              <w:br/>
              <w:t>Issuable Upon 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 Shares of</w:t>
              <w:br/>
              <w:t>Class A Common Stock</w:t>
              <w:br/>
              <w:t>Outstanding Immediately</w:t>
              <w:br/>
              <w:t>After Conversion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Beneficial Ownership of</w:t>
              <w:br/>
              <w:t>Class A Common Stock</w:t>
              <w:br/>
              <w:t>Immediately</w:t>
              <w:br/>
              <w:t>After Conversion</w:t>
            </w:r>
          </w:p>
        </w:tc>
        <w:tc>
          <w:tcPr>
            <w:tcW w:w="290" w:type="dxa"/>
            <w:tcBorders/>
            <w:vAlign w:val="center"/>
          </w:tcPr>
          <w:p>
            <w:pPr>
              <w:pStyle w:val="TableContents"/>
              <w:bidi w:val="0"/>
              <w:spacing w:before="0" w:after="283"/>
              <w:jc w:val="left"/>
              <w:rPr/>
            </w:pPr>
            <w:r>
              <w:rPr/>
              <w:t> </w:t>
            </w:r>
          </w:p>
        </w:tc>
      </w:tr>
      <w:tr>
        <w:trPr/>
        <w:tc>
          <w:tcPr>
            <w:tcW w:w="19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3,250,000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1,087,684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94" w:type="dxa"/>
            <w:tcBorders/>
            <w:shd w:fill="CCEEFF" w:val="clear"/>
            <w:vAlign w:val="center"/>
          </w:tcPr>
          <w:p>
            <w:pPr>
              <w:pStyle w:val="TableContents"/>
              <w:bidi w:val="0"/>
              <w:spacing w:before="0" w:after="283"/>
              <w:jc w:val="right"/>
              <w:rPr/>
            </w:pPr>
            <w:r>
              <w:rPr/>
              <w:t>10,403,478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2156"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193" w:type="dxa"/>
            <w:tcBorders/>
            <w:vAlign w:val="center"/>
          </w:tcPr>
          <w:p>
            <w:pPr>
              <w:pStyle w:val="TableContents"/>
              <w:bidi w:val="0"/>
              <w:spacing w:before="0" w:after="283"/>
              <w:jc w:val="left"/>
              <w:rPr/>
            </w:pPr>
            <w:r>
              <w:rPr/>
              <w:t>$</w:t>
            </w:r>
          </w:p>
        </w:tc>
        <w:tc>
          <w:tcPr>
            <w:tcW w:w="1522" w:type="dxa"/>
            <w:tcBorders/>
            <w:vAlign w:val="center"/>
          </w:tcPr>
          <w:p>
            <w:pPr>
              <w:pStyle w:val="TableContents"/>
              <w:bidi w:val="0"/>
              <w:spacing w:before="0" w:after="283"/>
              <w:jc w:val="right"/>
              <w:rPr/>
            </w:pPr>
            <w:r>
              <w:rPr/>
              <w:t>5,250,000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right"/>
              <w:rPr/>
            </w:pPr>
            <w:r>
              <w:rPr/>
              <w:t>1,757,028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11,072,822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2156" w:type="dxa"/>
            <w:tcBorders/>
            <w:vAlign w:val="center"/>
          </w:tcPr>
          <w:p>
            <w:pPr>
              <w:pStyle w:val="TableContents"/>
              <w:bidi w:val="0"/>
              <w:spacing w:before="0" w:after="283"/>
              <w:jc w:val="right"/>
              <w:rPr/>
            </w:pPr>
            <w:r>
              <w:rPr/>
              <w:t>15.9</w:t>
            </w:r>
          </w:p>
        </w:tc>
        <w:tc>
          <w:tcPr>
            <w:tcW w:w="290" w:type="dxa"/>
            <w:tcBorders/>
            <w:vAlign w:val="center"/>
          </w:tcPr>
          <w:p>
            <w:pPr>
              <w:pStyle w:val="TableContents"/>
              <w:bidi w:val="0"/>
              <w:spacing w:before="0" w:after="283"/>
              <w:jc w:val="left"/>
              <w:rPr/>
            </w:pPr>
            <w:r>
              <w:rPr/>
              <w:t>% </w:t>
            </w:r>
          </w:p>
        </w:tc>
      </w:tr>
      <w:tr>
        <w:trPr/>
        <w:tc>
          <w:tcPr>
            <w:tcW w:w="19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3,346,720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94" w:type="dxa"/>
            <w:tcBorders/>
            <w:shd w:fill="CCEEFF" w:val="clear"/>
            <w:vAlign w:val="center"/>
          </w:tcPr>
          <w:p>
            <w:pPr>
              <w:pStyle w:val="TableContents"/>
              <w:bidi w:val="0"/>
              <w:spacing w:before="0" w:after="283"/>
              <w:jc w:val="right"/>
              <w:rPr/>
            </w:pPr>
            <w:r>
              <w:rPr/>
              <w:t>12,662,514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2156" w:type="dxa"/>
            <w:tcBorders/>
            <w:shd w:fill="CCEEFF" w:val="clear"/>
            <w:vAlign w:val="center"/>
          </w:tcPr>
          <w:p>
            <w:pPr>
              <w:pStyle w:val="TableContents"/>
              <w:bidi w:val="0"/>
              <w:spacing w:before="0" w:after="283"/>
              <w:jc w:val="right"/>
              <w:rPr/>
            </w:pPr>
            <w:r>
              <w:rPr/>
              <w:t>26.4</w:t>
            </w:r>
          </w:p>
        </w:tc>
        <w:tc>
          <w:tcPr>
            <w:tcW w:w="290" w:type="dxa"/>
            <w:tcBorders/>
            <w:shd w:fill="CCEEFF" w:val="clear"/>
            <w:vAlign w:val="center"/>
          </w:tcPr>
          <w:p>
            <w:pPr>
              <w:pStyle w:val="TableContents"/>
              <w:bidi w:val="0"/>
              <w:spacing w:before="0" w:after="283"/>
              <w:jc w:val="left"/>
              <w:rPr/>
            </w:pPr>
            <w:r>
              <w:rPr/>
              <w:t>% </w:t>
            </w:r>
          </w:p>
        </w:tc>
      </w:tr>
      <w:tr>
        <w:trPr/>
        <w:tc>
          <w:tcPr>
            <w:tcW w:w="193" w:type="dxa"/>
            <w:tcBorders/>
            <w:vAlign w:val="center"/>
          </w:tcPr>
          <w:p>
            <w:pPr>
              <w:pStyle w:val="TableContents"/>
              <w:bidi w:val="0"/>
              <w:spacing w:before="0" w:after="283"/>
              <w:jc w:val="left"/>
              <w:rPr/>
            </w:pPr>
            <w:r>
              <w:rPr/>
              <w:t>$</w:t>
            </w:r>
          </w:p>
        </w:tc>
        <w:tc>
          <w:tcPr>
            <w:tcW w:w="1522" w:type="dxa"/>
            <w:tcBorders/>
            <w:vAlign w:val="center"/>
          </w:tcPr>
          <w:p>
            <w:pPr>
              <w:pStyle w:val="TableContents"/>
              <w:bidi w:val="0"/>
              <w:spacing w:before="0" w:after="283"/>
              <w:jc w:val="right"/>
              <w:rPr/>
            </w:pPr>
            <w:r>
              <w:rPr/>
              <w:t>25,000,000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right"/>
              <w:rPr/>
            </w:pPr>
            <w:r>
              <w:rPr/>
              <w:t>8,366,800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17,682,594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2156" w:type="dxa"/>
            <w:tcBorders/>
            <w:vAlign w:val="center"/>
          </w:tcPr>
          <w:p>
            <w:pPr>
              <w:pStyle w:val="TableContents"/>
              <w:bidi w:val="0"/>
              <w:spacing w:before="0" w:after="283"/>
              <w:jc w:val="right"/>
              <w:rPr/>
            </w:pPr>
            <w:r>
              <w:rPr/>
              <w:t>47.3</w:t>
            </w:r>
          </w:p>
        </w:tc>
        <w:tc>
          <w:tcPr>
            <w:tcW w:w="290" w:type="dxa"/>
            <w:tcBorders/>
            <w:vAlign w:val="center"/>
          </w:tcPr>
          <w:p>
            <w:pPr>
              <w:pStyle w:val="TableContents"/>
              <w:bidi w:val="0"/>
              <w:spacing w:before="0" w:after="283"/>
              <w:jc w:val="left"/>
              <w:rPr/>
            </w:pPr>
            <w:r>
              <w:rPr/>
              <w:t>% </w:t>
            </w:r>
          </w:p>
        </w:tc>
      </w:tr>
      <w:tr>
        <w:trPr/>
        <w:tc>
          <w:tcPr>
            <w:tcW w:w="19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50,000,000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16,733,601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94" w:type="dxa"/>
            <w:tcBorders/>
            <w:shd w:fill="CCEEFF" w:val="clear"/>
            <w:vAlign w:val="center"/>
          </w:tcPr>
          <w:p>
            <w:pPr>
              <w:pStyle w:val="TableContents"/>
              <w:bidi w:val="0"/>
              <w:spacing w:before="0" w:after="283"/>
              <w:jc w:val="right"/>
              <w:rPr/>
            </w:pPr>
            <w:r>
              <w:rPr/>
              <w:t>26,049,395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2156" w:type="dxa"/>
            <w:tcBorders/>
            <w:shd w:fill="CCEEFF" w:val="clear"/>
            <w:vAlign w:val="center"/>
          </w:tcPr>
          <w:p>
            <w:pPr>
              <w:pStyle w:val="TableContents"/>
              <w:bidi w:val="0"/>
              <w:spacing w:before="0" w:after="283"/>
              <w:jc w:val="right"/>
              <w:rPr/>
            </w:pPr>
            <w:r>
              <w:rPr/>
              <w:t>64.2</w:t>
            </w:r>
          </w:p>
        </w:tc>
        <w:tc>
          <w:tcPr>
            <w:tcW w:w="290" w:type="dxa"/>
            <w:tcBorders/>
            <w:shd w:fill="CCEEFF" w:val="clear"/>
            <w:vAlign w:val="center"/>
          </w:tcPr>
          <w:p>
            <w:pPr>
              <w:pStyle w:val="TableContents"/>
              <w:bidi w:val="0"/>
              <w:spacing w:before="0" w:after="283"/>
              <w:jc w:val="left"/>
              <w:rPr/>
            </w:pPr>
            <w:r>
              <w:rPr/>
              <w:t>% </w:t>
            </w:r>
          </w:p>
        </w:tc>
      </w:tr>
      <w:tr>
        <w:trPr/>
        <w:tc>
          <w:tcPr>
            <w:tcW w:w="193" w:type="dxa"/>
            <w:tcBorders/>
            <w:vAlign w:val="center"/>
          </w:tcPr>
          <w:p>
            <w:pPr>
              <w:pStyle w:val="TableContents"/>
              <w:bidi w:val="0"/>
              <w:spacing w:before="0" w:after="283"/>
              <w:jc w:val="left"/>
              <w:rPr/>
            </w:pPr>
            <w:r>
              <w:rPr/>
              <w:t>$</w:t>
            </w:r>
          </w:p>
        </w:tc>
        <w:tc>
          <w:tcPr>
            <w:tcW w:w="1522" w:type="dxa"/>
            <w:tcBorders/>
            <w:vAlign w:val="center"/>
          </w:tcPr>
          <w:p>
            <w:pPr>
              <w:pStyle w:val="TableContents"/>
              <w:bidi w:val="0"/>
              <w:spacing w:before="0" w:after="283"/>
              <w:jc w:val="right"/>
              <w:rPr/>
            </w:pPr>
            <w:r>
              <w:rPr/>
              <w:t>75,000,000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right"/>
              <w:rPr/>
            </w:pPr>
            <w:r>
              <w:rPr/>
              <w:t>22,983,601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32,299,395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2156" w:type="dxa"/>
            <w:tcBorders/>
            <w:vAlign w:val="center"/>
          </w:tcPr>
          <w:p>
            <w:pPr>
              <w:pStyle w:val="TableContents"/>
              <w:bidi w:val="0"/>
              <w:spacing w:before="0" w:after="283"/>
              <w:jc w:val="right"/>
              <w:rPr/>
            </w:pPr>
            <w:r>
              <w:rPr/>
              <w:t>71.2</w:t>
            </w:r>
          </w:p>
        </w:tc>
        <w:tc>
          <w:tcPr>
            <w:tcW w:w="290" w:type="dxa"/>
            <w:tcBorders/>
            <w:vAlign w:val="center"/>
          </w:tcPr>
          <w:p>
            <w:pPr>
              <w:pStyle w:val="TableContents"/>
              <w:bidi w:val="0"/>
              <w:spacing w:before="0" w:after="283"/>
              <w:jc w:val="left"/>
              <w:rPr/>
            </w:pPr>
            <w:r>
              <w:rPr/>
              <w:t>% </w:t>
            </w:r>
          </w:p>
        </w:tc>
      </w:tr>
      <w:tr>
        <w:trPr/>
        <w:tc>
          <w:tcPr>
            <w:tcW w:w="19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566" w:type="dxa"/>
            <w:tcBorders/>
            <w:shd w:fill="CCEEFF" w:val="clear"/>
            <w:vAlign w:val="center"/>
          </w:tcPr>
          <w:p>
            <w:pPr>
              <w:pStyle w:val="TableContents"/>
              <w:bidi w:val="0"/>
              <w:spacing w:before="0" w:after="283"/>
              <w:jc w:val="right"/>
              <w:rPr/>
            </w:pPr>
            <w:r>
              <w:rPr/>
              <w:t>29,233,601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594" w:type="dxa"/>
            <w:tcBorders/>
            <w:shd w:fill="CCEEFF" w:val="clear"/>
            <w:vAlign w:val="center"/>
          </w:tcPr>
          <w:p>
            <w:pPr>
              <w:pStyle w:val="TableContents"/>
              <w:bidi w:val="0"/>
              <w:spacing w:before="0" w:after="283"/>
              <w:jc w:val="right"/>
              <w:rPr/>
            </w:pPr>
            <w:r>
              <w:rPr/>
              <w:t>38,549,395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2156" w:type="dxa"/>
            <w:tcBorders/>
            <w:shd w:fill="CCEEFF" w:val="clear"/>
            <w:vAlign w:val="center"/>
          </w:tcPr>
          <w:p>
            <w:pPr>
              <w:pStyle w:val="TableContents"/>
              <w:bidi w:val="0"/>
              <w:spacing w:before="0" w:after="283"/>
              <w:jc w:val="right"/>
              <w:rPr/>
            </w:pPr>
            <w:r>
              <w:rPr/>
              <w:t>75.8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of Failure to Obtain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We are not seeking the approval of our stockholders to authorize our entry into or consummation of the transactions contemplated by the First Amendment. We are only asking for approval to convert the Amendment Convertible Notes into a number of shares of Class A common stock that exceeds the Nasdaq 20% Rule. The failure of our stockholders to approve this proposal will not negate the existing terms of the documents, which will remain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successfully implement our business plans and strategy and ultimately create value for our stockholders is dependent upon our ability to raise capital and satisfy our ongoing business needs and strategy, which we believe could be adversely affected if our stockholders do not approve this proposal. If our stockholders do not approve this proposal, we cannot convert the Amendment Convertible Notes into a number of shares of Class A common stock that exceeds the Nasdaq 20% Rule. All obligations to facilitate the conversions of such Amendment Convertible Notes would remain in effect and may result in cash obligations of the Company, since we would be required to repay such Convertible Notes in cash if such Convertible Notes are not convertible into Class A common stock. The inability to convert the Amendment Convertible Notes into a number of shares of Class A common stock that exceeds the Nasdaq 20% Rule may also adversely affect our future ability to raise equity or debt capital from third parties on attractive terms, if at all, and also risks impairing the operations and financial condition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stockholders do not approve this proposal, we would be required to hold an additional stockholders’ meeting to obtain such approval on or prior to the 60 day anniversary of the prior stockholders’ meeting where such approval was not received thereafter until such stockholder approval is obtained. Unless and until we are able to obtain such stockholder approval, we will be unable to issue shares of Class A common stock to the holders of the Amendment Convertible Notes in excess of the Nasdaq 20% Rule and may be required to satisfy conversion or amortization obligations under the Amendment Convertible Notes in cash, which could adversely affect our liquidity and financial condition. We would also bear the costs associated with including this proposal for stockholder approval at subsequent stockholders’ meetings. The costs and expenses associated with seeking such approval could adversely impact our ability to fund our operations and advance our business plans.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believe that providing us the flexibility to fully issue shares of Class A common stock that are issuable pursuant to the Amendment Convertible Notes (without regard to any limitations thereon set forth in the Securities Purchase Agreement) is in the best interest of the Company. </w:t>
      </w:r>
    </w:p>
    <w:p>
      <w:pPr>
        <w:pStyle w:val="TextBody"/>
        <w:bidi w:val="0"/>
        <w:spacing w:before="360" w:after="0"/>
        <w:jc w:val="left"/>
        <w:rPr>
          <w:rFonts w:ascii="Times New Roman" w:hAnsi="Times New Roman"/>
          <w:b/>
          <w:sz w:val="20"/>
        </w:rPr>
      </w:pPr>
      <w:bookmarkStart w:id="24" w:name="toc174786_25"/>
      <w:bookmarkEnd w:id="24"/>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 majority of the voting power of the shares present in person, by remote communication, or represented by proxy duly authorized at the meeting and voting affirmatively or negatively (excluding abstentions and broker non-votes) on the matter at the Annual Meeting will be required to approve, for purposes of complying with Nasdaq Listing Rule 5635(d), the issuance of shares of our Class A common stock representing more than 19.99% upon the conversion of certain convertible notes.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74786_26"/>
      <w:bookmarkEnd w:id="25"/>
      <w:r>
        <w:rPr>
          <w:rFonts w:ascii="Times New Roman" w:hAnsi="Times New Roman"/>
          <w:b/>
          <w:sz w:val="20"/>
        </w:rPr>
        <w:t xml:space="preserve">PROPOSAL 4: </w:t>
      </w:r>
    </w:p>
    <w:p>
      <w:pPr>
        <w:pStyle w:val="TextBody"/>
        <w:bidi w:val="0"/>
        <w:spacing w:before="24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has selected BPM LLP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Prior to our engagement of BPM LLP, Deloitte &amp; Touche LLP previously audited the Company’s financial statements since 2017. Representatives of BPM LLP are expected to be present at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Company’s Bylaws nor other governing documents or law require stockholder ratification of the selection of the Company’s independent registered public accounting firm. However, the Audit Committee of the Board is submitting the selection of its independent registered public accounting firm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360" w:after="0"/>
        <w:jc w:val="left"/>
        <w:rPr>
          <w:rFonts w:ascii="Times New Roman" w:hAnsi="Times New Roman"/>
          <w:b/>
          <w:sz w:val="20"/>
        </w:rPr>
      </w:pPr>
      <w:bookmarkStart w:id="26" w:name="toc174786_27"/>
      <w:bookmarkEnd w:id="26"/>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 majority of the voting power of the shares present in person, by remote communication, or represented by proxy duly authorized at the meeting and voting affirmatively or negatively (excluding abstentions and broker non-votes) on the matter at the Annual Meeting will be required to ratify the selection of BPM LLP. </w:t>
      </w:r>
    </w:p>
    <w:p>
      <w:pPr>
        <w:pStyle w:val="TextBody"/>
        <w:bidi w:val="0"/>
        <w:spacing w:before="360" w:after="0"/>
        <w:jc w:val="left"/>
        <w:rPr>
          <w:rFonts w:ascii="Times New Roman" w:hAnsi="Times New Roman"/>
          <w:b/>
          <w:sz w:val="20"/>
        </w:rPr>
      </w:pPr>
      <w:bookmarkStart w:id="27" w:name="toc174786_28"/>
      <w:bookmarkEnd w:id="27"/>
      <w:r>
        <w:rPr>
          <w:rFonts w:ascii="Times New Roman" w:hAnsi="Times New Roman"/>
          <w:b/>
          <w:sz w:val="20"/>
        </w:rPr>
        <w:t xml:space="preserve">INDEPENDENT REGISTERED PUBLIC ACCOUNTING FIRM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for the fiscal years ended December 31, 2025 and December 31, 2024, by Deloitte &amp; Touche LLP, the Company’s prior independent registered public accounting firm. </w:t>
      </w:r>
    </w:p>
    <w:p>
      <w:pPr>
        <w:pStyle w:val="TextBody"/>
        <w:bidi w:val="0"/>
        <w:spacing w:before="0" w:after="0"/>
        <w:jc w:val="left"/>
        <w:rPr/>
      </w:pPr>
      <w:r>
        <w:rPr/>
        <w:t> </w:t>
      </w:r>
    </w:p>
    <w:tbl>
      <w:tblPr>
        <w:tblW w:w="3517" w:type="dxa"/>
        <w:jc w:val="left"/>
        <w:tblInd w:w="0" w:type="dxa"/>
        <w:tblLayout w:type="fixed"/>
        <w:tblCellMar>
          <w:top w:w="0" w:type="dxa"/>
          <w:left w:w="0" w:type="dxa"/>
          <w:bottom w:w="0" w:type="dxa"/>
          <w:right w:w="0" w:type="dxa"/>
        </w:tblCellMar>
      </w:tblPr>
      <w:tblGrid>
        <w:gridCol w:w="1415"/>
        <w:gridCol w:w="120"/>
        <w:gridCol w:w="169"/>
        <w:gridCol w:w="676"/>
        <w:gridCol w:w="72"/>
        <w:gridCol w:w="145"/>
        <w:gridCol w:w="169"/>
        <w:gridCol w:w="676"/>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 Category</w:t>
            </w:r>
          </w:p>
        </w:tc>
        <w:tc>
          <w:tcPr>
            <w:tcW w:w="12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1,542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1,273</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Fees(2)</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676" w:type="dxa"/>
            <w:tcBorders/>
            <w:vAlign w:val="center"/>
          </w:tcPr>
          <w:p>
            <w:pPr>
              <w:pStyle w:val="TableContents"/>
              <w:bidi w:val="0"/>
              <w:spacing w:before="0" w:after="283"/>
              <w:jc w:val="right"/>
              <w:rPr/>
            </w:pPr>
            <w:r>
              <w:rPr/>
              <w:t>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676"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676" w:type="dxa"/>
            <w:tcBorders/>
            <w:vAlign w:val="center"/>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67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1,544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1,275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for professional services provided in connection with the audit of our annual consolidated financial statements, reviews of our quarterly condensed consolidated financial statements, and statutory and regulatory filings or engagements. </w:t>
            </w:r>
          </w:p>
        </w:tc>
      </w:tr>
    </w:tbl>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283"/>
              <w:jc w:val="left"/>
              <w:rPr/>
            </w:pPr>
            <w:r>
              <w:rPr/>
              <w:t>(2)</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consist of a subscription to the Deloitte Accounting Research Tool.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fees described above were pre-approved by the Audit Committee. </w:t>
      </w:r>
    </w:p>
    <w:p>
      <w:pPr>
        <w:pStyle w:val="TextBody"/>
        <w:bidi w:val="0"/>
        <w:spacing w:before="360" w:after="0"/>
        <w:jc w:val="left"/>
        <w:rPr>
          <w:rFonts w:ascii="Times New Roman" w:hAnsi="Times New Roman"/>
          <w:b/>
          <w:sz w:val="20"/>
        </w:rPr>
      </w:pPr>
      <w:bookmarkStart w:id="28" w:name="toc174786_29"/>
      <w:bookmarkEnd w:id="28"/>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adopted a policy and procedures for the pre-approval of audit and non-audit services rendered by the Company’s independent registered public accounting firm. The policy generally pre-approves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74786_30"/>
      <w:bookmarkEnd w:id="29"/>
      <w:r>
        <w:rPr>
          <w:rFonts w:ascii="Times New Roman" w:hAnsi="Times New Roman"/>
          <w:b/>
          <w:sz w:val="20"/>
        </w:rPr>
        <w:t xml:space="preserve">PROPOSAL 5: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ONE OR MORE ADJOURNMENTS OF THE ANNUAL MEETING FROM TIME TO TIME, IF NECESSARY, TO SOLICIT ADDITIONAL PROXIES IN THE EVENT THAT THERE ARE INSUFFICIENT SHARES PRESENT VIRTUALLY OR REPRESENTED BY PROXY VOTING IN FAVOR OF THE PROPOSALS 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shares of common stock present in person or represented by proxy at the Annual Meeting voting in favor of the proposals is insufficient to approve the proposals at the time of the Annual Meeting, we intend to adjourn the Annual Meeting to a later date or dates in order to enable the Board to solicit additional proxies in respect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In this proposal regarding the adjournment of the Annual Meeting, we are asking you to approve one or more adjournments of the Annual Meeting, if necessary, for the purpose of soliciting additional proxies in favor of the proposals. If our stockholders approve this proposal, we could adjourn the Annual Meeting and any adjourned session of the Annual Meeting and use the additional time to solicit additional proxies, including the solicitation of proxies from stockholders that have previously returned properly executed proxies voting against the proposals, as applicable. Among other things, approval of this proposal could mean that, even if we had received proxies representing a sufficient number of votes against the proposals such that the proposals, as applicable, would be defeated, we could adjourn the Annual Meeting without a vote on the approval of the proposals, and seek to convince the holders of those shares to change their votes to votes in favor of the proposals. Additionally, we may seek to adjourn the Annual Meeting if a quorum is not present at the Annual Meeting. The Bylaws also permit the chairperson of the Annual Meeting to adjourn the Annual Meeting, whether or not a quorum is present.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 majority of the voting power of the shares present in person, by remote communication, or represented by proxy duly authorized at the meeting and voting affirmatively or negatively (excluding abstentions and broker non-votes) on the matter at the Annual Meeting will be required to approve of one or more adjournments of the Annual Meeting from time to time, if necessary, to solicit additional proxies in the event that there are insufficient shares present virtually or represented by proxy voting in favor of the proposals presented at the meeting.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74786_31"/>
      <w:bookmarkEnd w:id="30"/>
      <w:r>
        <w:rPr>
          <w:rFonts w:ascii="Times New Roman" w:hAnsi="Times New Roman"/>
          <w:b/>
          <w:sz w:val="20"/>
        </w:rPr>
        <w:t xml:space="preserve">REPORT OF THE AUDIT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Dick Boyce </w:t>
      </w:r>
    </w:p>
    <w:p>
      <w:pPr>
        <w:pStyle w:val="TextBody"/>
        <w:bidi w:val="0"/>
        <w:spacing w:before="0" w:after="0"/>
        <w:jc w:val="left"/>
        <w:rPr>
          <w:rFonts w:ascii="Times New Roman" w:hAnsi="Times New Roman"/>
          <w:sz w:val="20"/>
        </w:rPr>
      </w:pPr>
      <w:r>
        <w:rPr>
          <w:rFonts w:ascii="Times New Roman" w:hAnsi="Times New Roman"/>
          <w:sz w:val="20"/>
        </w:rPr>
        <w:t xml:space="preserve">Dan Levitan </w:t>
      </w:r>
    </w:p>
    <w:p>
      <w:pPr>
        <w:pStyle w:val="TextBody"/>
        <w:bidi w:val="0"/>
        <w:spacing w:before="24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74786_32"/>
      <w:bookmarkEnd w:id="31"/>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identifies certain information about our executive officers as of the Record Date. Our executive officers are appointed by, and serve at the discretion of, our Board of Directors. There are no family relationships among any of our directors or executive officers. </w:t>
      </w:r>
    </w:p>
    <w:p>
      <w:pPr>
        <w:pStyle w:val="TextBody"/>
        <w:bidi w:val="0"/>
        <w:spacing w:before="0" w:after="0"/>
        <w:jc w:val="left"/>
        <w:rPr/>
      </w:pPr>
      <w:r>
        <w:rPr/>
        <w:t> </w:t>
      </w:r>
    </w:p>
    <w:tbl>
      <w:tblPr>
        <w:tblW w:w="7020" w:type="dxa"/>
        <w:jc w:val="left"/>
        <w:tblInd w:w="0" w:type="dxa"/>
        <w:tblLayout w:type="fixed"/>
        <w:tblCellMar>
          <w:top w:w="0" w:type="dxa"/>
          <w:left w:w="0" w:type="dxa"/>
          <w:bottom w:w="0" w:type="dxa"/>
          <w:right w:w="0" w:type="dxa"/>
        </w:tblCellMar>
      </w:tblPr>
      <w:tblGrid>
        <w:gridCol w:w="1715"/>
        <w:gridCol w:w="120"/>
        <w:gridCol w:w="425"/>
        <w:gridCol w:w="120"/>
        <w:gridCol w:w="464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6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715" w:type="dxa"/>
            <w:tcBorders/>
            <w:shd w:fill="CCEEFF" w:val="clear"/>
            <w:vAlign w:val="center"/>
          </w:tcPr>
          <w:p>
            <w:pPr>
              <w:pStyle w:val="TableContents"/>
              <w:bidi w:val="0"/>
              <w:spacing w:before="0" w:after="283"/>
              <w:jc w:val="left"/>
              <w:rPr/>
            </w:pPr>
            <w:r>
              <w:rPr/>
              <w:t>Nadia Carlsten(1)</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43</w:t>
            </w:r>
          </w:p>
        </w:tc>
        <w:tc>
          <w:tcPr>
            <w:tcW w:w="120" w:type="dxa"/>
            <w:tcBorders/>
            <w:shd w:fill="CCEEFF" w:val="clear"/>
            <w:vAlign w:val="center"/>
          </w:tcPr>
          <w:p>
            <w:pPr>
              <w:pStyle w:val="TableContents"/>
              <w:bidi w:val="0"/>
              <w:spacing w:before="0" w:after="283"/>
              <w:jc w:val="left"/>
              <w:rPr/>
            </w:pPr>
            <w:r>
              <w:rPr/>
              <w:t>  </w:t>
            </w:r>
          </w:p>
        </w:tc>
        <w:tc>
          <w:tcPr>
            <w:tcW w:w="4640" w:type="dxa"/>
            <w:tcBorders/>
            <w:shd w:fill="CCEEFF" w:val="clear"/>
            <w:vAlign w:val="center"/>
          </w:tcPr>
          <w:p>
            <w:pPr>
              <w:pStyle w:val="TableContents"/>
              <w:bidi w:val="0"/>
              <w:spacing w:before="0" w:after="283"/>
              <w:jc w:val="left"/>
              <w:rPr/>
            </w:pPr>
            <w:r>
              <w:rPr/>
              <w:t>President, Chief Executive Officer and Secretary</w:t>
            </w:r>
          </w:p>
        </w:tc>
      </w:tr>
      <w:tr>
        <w:trPr/>
        <w:tc>
          <w:tcPr>
            <w:tcW w:w="1715" w:type="dxa"/>
            <w:tcBorders/>
            <w:vAlign w:val="center"/>
          </w:tcPr>
          <w:p>
            <w:pPr>
              <w:pStyle w:val="TableContents"/>
              <w:bidi w:val="0"/>
              <w:spacing w:before="0" w:after="283"/>
              <w:jc w:val="left"/>
              <w:rPr/>
            </w:pPr>
            <w:r>
              <w:rPr/>
              <w:t>Ann Mitchell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49</w:t>
            </w:r>
          </w:p>
        </w:tc>
        <w:tc>
          <w:tcPr>
            <w:tcW w:w="12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Vernachio resigned as President, Chief Executive Officer and Secretary, effective June 19, 2026. Dr. Carlsten was appointed as President, Chief Executive Officer and Secretary, effective June 18,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biography of Dr. Carlsten is set forth in “Proposal 1: Election of Directors” above. </w:t>
      </w:r>
    </w:p>
    <w:p>
      <w:pPr>
        <w:pStyle w:val="TextBody"/>
        <w:bidi w:val="0"/>
        <w:spacing w:before="240" w:after="0"/>
        <w:jc w:val="left"/>
        <w:rPr>
          <w:rFonts w:ascii="Times New Roman" w:hAnsi="Times New Roman"/>
          <w:sz w:val="20"/>
        </w:rPr>
      </w:pPr>
      <w:r>
        <w:rPr>
          <w:rFonts w:ascii="Times New Roman" w:hAnsi="Times New Roman"/>
          <w:b/>
          <w:i/>
          <w:sz w:val="20"/>
        </w:rPr>
        <w:t>Ann Mitchell.</w:t>
      </w:r>
      <w:r>
        <w:rPr>
          <w:rFonts w:ascii="Times New Roman" w:hAnsi="Times New Roman"/>
          <w:sz w:val="20"/>
        </w:rPr>
        <w:t xml:space="preserve"> Ms. Mitchell has served as our Chief Financial Officer since April 2023. From June 2021 to March 2023, Ms. Mitchell served as the Vice President of Finance &amp; Insights for Gymshark, a fitness apparel and accessories brand, manufacturer, and retailer, where she led the financial strategy for the North American region, oversaw the finance, analytics, and research functions, and was a senior member of the leadership team. Prior to Gymshark, Ms. Mitchell spent almost ten years (May 2011 to March 2021) with adidas, a global footwear and apparel company, where she served in progressively senior financial leadership roles. In her most recent role at adidas, she was the Senior Vice President of Finance (CFO) for adidas North America (August 2017 to March 2021), where she was a key member of the senior leadership team and was responsible for driving the strategic growth of the region. Her responsibilities included leading the finance, demand planning, accounting, and controlling functions. Ms. Mitchell holds a B.A. in Economics from the University of Puget Sound and an M.B.A. and an M.Sc. in Finance from the University of Denver Daniels College of Business. </w:t>
      </w:r>
    </w:p>
    <w:p>
      <w:pPr>
        <w:pStyle w:val="TextBody"/>
        <w:bidi w:val="0"/>
        <w:spacing w:before="360" w:after="0"/>
        <w:jc w:val="left"/>
        <w:rPr>
          <w:rFonts w:ascii="Times New Roman" w:hAnsi="Times New Roman"/>
          <w:b/>
          <w:sz w:val="20"/>
        </w:rPr>
      </w:pPr>
      <w:bookmarkStart w:id="32" w:name="toc174786_33"/>
      <w:bookmarkEnd w:id="32"/>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our named executive officers were: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10"/>
        <w:gridCol w:w="60"/>
        <w:gridCol w:w="3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 Mitchell, Chief Financial Officer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Joe Vernachio, Former President, Chief Executive Officer and Secretary, and Former Chief Operating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all of the compensation awarded to or earned by or paid to our named executive officers during the fiscal years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3"/>
        <w:gridCol w:w="60"/>
        <w:gridCol w:w="60"/>
        <w:gridCol w:w="500"/>
        <w:gridCol w:w="60"/>
        <w:gridCol w:w="60"/>
        <w:gridCol w:w="60"/>
        <w:gridCol w:w="800"/>
        <w:gridCol w:w="60"/>
        <w:gridCol w:w="60"/>
        <w:gridCol w:w="60"/>
        <w:gridCol w:w="800"/>
        <w:gridCol w:w="60"/>
        <w:gridCol w:w="60"/>
        <w:gridCol w:w="155"/>
        <w:gridCol w:w="675"/>
        <w:gridCol w:w="60"/>
        <w:gridCol w:w="60"/>
        <w:gridCol w:w="163"/>
        <w:gridCol w:w="2182"/>
        <w:gridCol w:w="215"/>
        <w:gridCol w:w="60"/>
        <w:gridCol w:w="120"/>
        <w:gridCol w:w="1370"/>
        <w:gridCol w:w="215"/>
        <w:gridCol w:w="60"/>
        <w:gridCol w:w="60"/>
        <w:gridCol w:w="980"/>
        <w:gridCol w:w="77"/>
      </w:tblGrid>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5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 Incentive</w:t>
              <w:br/>
              <w:t>Plan Compensation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 Vernachio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454,993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8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14,000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968,993</w:t>
            </w:r>
          </w:p>
        </w:tc>
        <w:tc>
          <w:tcPr>
            <w:tcW w:w="77" w:type="dxa"/>
            <w:tcBorders/>
            <w:shd w:fill="CCEEFF" w:val="clear"/>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283"/>
              <w:jc w:val="left"/>
              <w:rPr>
                <w:i/>
              </w:rPr>
            </w:pPr>
            <w:r>
              <w:rPr>
                <w:i/>
              </w:rPr>
              <w:t>Former President, Chief Executive Officer and Secretary, and Former Chief Operating Officer(1)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563,575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82" w:type="dxa"/>
            <w:tcBorders/>
            <w:shd w:fill="CCEEFF" w:val="clear"/>
            <w:vAlign w:val="center"/>
          </w:tcPr>
          <w:p>
            <w:pPr>
              <w:pStyle w:val="TableContents"/>
              <w:bidi w:val="0"/>
              <w:spacing w:before="0" w:after="283"/>
              <w:jc w:val="right"/>
              <w:rPr/>
            </w:pPr>
            <w:r>
              <w:rPr/>
              <w:t>131,923</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13,800</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1,180,452</w:t>
            </w:r>
          </w:p>
        </w:tc>
        <w:tc>
          <w:tcPr>
            <w:tcW w:w="77" w:type="dxa"/>
            <w:tcBorders/>
            <w:shd w:fill="CCEEFF" w:val="clear"/>
            <w:vAlign w:val="center"/>
          </w:tcPr>
          <w:p>
            <w:pPr>
              <w:pStyle w:val="TableContents"/>
              <w:bidi w:val="0"/>
              <w:spacing w:before="0" w:after="283"/>
              <w:jc w:val="left"/>
              <w:rPr/>
            </w:pPr>
            <w:r>
              <w:rPr/>
              <w:t> </w:t>
            </w:r>
          </w:p>
        </w:tc>
      </w:tr>
      <w:tr>
        <w:trPr/>
        <w:tc>
          <w:tcPr>
            <w:tcW w:w="1053"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 Mitchell</w:t>
            </w:r>
          </w:p>
          <w:p>
            <w:pPr>
              <w:pStyle w:val="TableContents"/>
              <w:bidi w:val="0"/>
              <w:spacing w:before="0" w:after="20"/>
              <w:jc w:val="left"/>
              <w:rPr>
                <w:rFonts w:ascii="Times New Roman" w:hAnsi="Times New Roman"/>
                <w:i/>
                <w:sz w:val="20"/>
              </w:rPr>
            </w:pPr>
            <w:r>
              <w:rPr>
                <w:rFonts w:ascii="Times New Roman" w:hAnsi="Times New Roman"/>
                <w:i/>
                <w:sz w:val="20"/>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206,955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12,245</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604,200</w:t>
            </w:r>
          </w:p>
        </w:tc>
        <w:tc>
          <w:tcPr>
            <w:tcW w:w="77" w:type="dxa"/>
            <w:tcBorders/>
            <w:vAlign w:val="center"/>
          </w:tcPr>
          <w:p>
            <w:pPr>
              <w:pStyle w:val="TableContents"/>
              <w:bidi w:val="0"/>
              <w:spacing w:before="0" w:after="283"/>
              <w:jc w:val="left"/>
              <w:rPr/>
            </w:pPr>
            <w:r>
              <w:rPr/>
              <w:t> </w:t>
            </w:r>
          </w:p>
        </w:tc>
      </w:tr>
      <w:tr>
        <w:trPr/>
        <w:tc>
          <w:tcPr>
            <w:tcW w:w="105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383,077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282,600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right"/>
              <w:rPr/>
            </w:pPr>
            <w:r>
              <w:rPr/>
              <w:t>60,335</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13,800</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739,812</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2024, Mr. Vernachio was appointed as President, Chief Executive Officer and Secretary of the Company. Mr. Vernachio resigned as President, Chief Executive Officer and Secretary, effective June 19, 2026.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noted, amounts reported represent the aggregate grant date fair value of stock awards granted in the fiscal year ended December 31, 2025, measured pursuant to ASC 718, the basis for computing stock-based compensation in our financial statements. This calculation assumes that the named executive officer will perform the requisite service for the award to vest in full as required by SEC rules. These amounts do not reflect the actual economic value that will be realized by the named executive officer upon the settlement of such stock awards or the sale of the Class A common stock issuable upon the settlement of such stock awards. In 2024, Mr. Vernachio was granted certain performance-based RSUs which vest, if at all, according to certain Company stock price targets. Please see the section titled “Employment Agreements with our Named Executive Officers—Joe Vernachio” below for further information. The grant date fair value of these performance-based RSUs was calculated based on a Monte-Carlo simulation. The performance-based RSUs are subject to market and service conditions, and not performance conditions, as defined under ASC 718, and therefore have no maximum grant date fair values that differ from the grant date fair values presented in the table. The assumptions we used in valuing stock awards are described in Note 10 to our consolidated financial statements included in our Annual Report on Form 10-K filed with the SEC on March 31, 2026.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Vernachio and Ms. Mitchell, amounts reported represent a discretionary bonus related to the fiscal year ended December 31, 2024. For additional detail, please see “Non-Equity Incentive Plan Compensation.”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Vernachio, amount reported represents $14,000 in Company contributions under our 401(k) plan paid by the Company for the benefit of Mr. Vernachio. For Ms. Mitchell, amount reported represents $12,245 in Company contributions under our 401(k) plan paid by the Company for the benefit of Ms. Mitchell.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Vernachio, amount reported represents $13,800 in Company contributions under our 401(k) plan paid by the Company for the benefit of Mr. Vernachio. For Ms. Mitchell, amount reported represents $13,800 in Company contributions under our 401(k) plan paid by the Company for the benefit of Ms. Mitchell.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Our Board approved an annual base salary for Mr. Vernachio of $375,000, effective March 1, 2022, and in March 2024, we entered into a new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with Mr. Vernachio in connection with his appointment as the Company’s President and Chief Executive Officer entitling Mr. Vernachio to an initial annualized base salary of $500,000. Ms. Mitchell joined us in April 2023 and received an annualized base salary of $375,000 and in May 2024, the Compensation Committee approved an annualized base salary for Ms. Mitchell of $385,000.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base salaries, our executive officers are eligible to receive performance-based cash bonuses, which are designed to provide appropriate incentives to our executives to achieve defined performance goals. For our fiscal year 2025, no bonus amounts were earned or paid to our named executive officers. For our fiscal year 2024, Mr. Vernachio, in connection with his role as President and Chief Executive Officer, the target bonus was 80% of his annual base salary with a maximum bonus opportunity of 160% of annual base salary, and for Ms. Mitchell, the target bonus was 45% of her annual base salary with a maximum bonus opportunity of 90% of annual base salary. The performance goals for our fiscal year ended December 31, 2024 focused on U.S. net revenue and adjusted EBITDA, with a weighting of 30% and 70% assigned to each target, respectively, and with a +/- 20% discretionary modifier based on delivering against sustainability goals and strategic transformation priorities. The amounts of any annual incentives earned are determined after the end of the year, based on the achievement of the designated corporate and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2026, the Compensation Committee of the Board approved an executive retention program (the “Executive Retention Plan”) for certain senior-level executives. The Company will need to continue to operate its business until the closing of the sale of substantially all of the assets of the Company (the “Closing”), and the Compensation Committee approved the Executive Retention Plan in recognition of the significant benefits to the Company of retaining such executives to continue assisting the Company in its operations through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Executive Retention Plan provides for a lump sum, one-time cash payment, less applicable tax withholdings, on the next administratively practicable payroll date in the following amounts: $500,000 for Joseph Vernachio, and $400,000 for Ann Mitchell (each, an “Executive Award”). The Executive Awards are subject to a “clawback” requirement, which provides that each executive must repay the net (after-tax) amount of his or her respective Executive Award if such executive voluntarily terminates his or her employment with the Company prior to the date of the Closing. The Executive Retention Plan supersedes all oral or written plans, programs, agreements and policies of the Company and its affiliates with respect to the subject matter of the Executive Retention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performance. </w:t>
      </w:r>
    </w:p>
    <w:p>
      <w:pPr>
        <w:pStyle w:val="TextBody"/>
        <w:bidi w:val="0"/>
        <w:spacing w:before="240" w:after="0"/>
        <w:jc w:val="left"/>
        <w:rPr>
          <w:rFonts w:ascii="Times New Roman" w:hAnsi="Times New Roman"/>
          <w:sz w:val="20"/>
        </w:rPr>
      </w:pPr>
      <w:r>
        <w:rPr>
          <w:rFonts w:ascii="Times New Roman" w:hAnsi="Times New Roman"/>
          <w:sz w:val="20"/>
        </w:rPr>
        <w:t xml:space="preserve">Prior to our initial public offering (“IPO”), we granted equity awards pursuant to our 2015 Equity Incentive Plan (the “2015 Plan”), and following the closing of our IPO, we grant all equity awards pursuant to the 2021 Plan. Following the adoption of our 2021 Plan, no further grants were permitted to be made pursuant to our 2015 Plan, though existing awards remain outstanding under the 2015 Plan and continue to vest in accordance with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2025 Grants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2025, we granted to Ms. Mitchell (i) an award of restricted stock units (“RSUs”) under our 2021 Plan covering 21,500 shares of our Class A common stock, and (ii) an award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stock units (“PSU Award”) covering 10,000 shares of our Class A common stock. The RSUs vest with respect to 1/12th of the shares on the three-month anniversary of the grant date, and with respect to the remaining shares subject to the RSUs, in 11 equal quarterly installments thereafter. The PSU Award will become eligible to vest upon the attainment of certain business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 ended December 31, 2025, we granted to Mr. Vernachio (i) an award of RSUs under our 2021 plan covering 63,955 shares of our Class A common stock, and (ii) a PSU Award covering 27,409 shares of our Class A common stock. The RSUs vest with respect to 1/12th of the shares on the three-month anniversary of the grant date, and with respect to the remaining shares subject to the RSUs, in 11 equal quarterly installments thereafter. The PSU Award will become eligible to vest upon the attainment of business performance goals. </w:t>
      </w:r>
    </w:p>
    <w:p>
      <w:pPr>
        <w:pStyle w:val="TextBody"/>
        <w:bidi w:val="0"/>
        <w:spacing w:before="360" w:after="0"/>
        <w:jc w:val="left"/>
        <w:rPr>
          <w:rFonts w:ascii="Times New Roman" w:hAnsi="Times New Roman"/>
          <w:i/>
          <w:sz w:val="20"/>
        </w:rPr>
      </w:pPr>
      <w:r>
        <w:rPr>
          <w:rFonts w:ascii="Times New Roman" w:hAnsi="Times New Roman"/>
          <w:i/>
          <w:sz w:val="20"/>
        </w:rPr>
        <w:t xml:space="preserve">2024 Grants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2024, we granted annual RSUs under our 2021 Plan to Ms. Mitchell covering 20,000 shares of our Class A common stock. One-twelfth of these RSUs vested on December 1, 2024, and the remaining RSUs vest in equal quarterly installments for the following three years, subject to continued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Vernachio’s appointment as President and Chief Executive Officer, in March 2024, the Board granted to Mr. Vernachio (i) an award of RSUs with a grant date value of $600,000, and (ii) an award of PSUs with a grant date value of $600,000. The RSUs vest with respect to 1/12th of the shares on the three-month anniversary of the grant date, and with respect to the remaining shares subject to the RSUs, in 11 equal quarterly installments thereafter. The PSU Award will become eligible to vest upon the attainment of certain stock price goals. See the section titled “Employment Agreements with our Named Executive Officers—Joe Vernachio” for details on the PSU Award.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about outstanding equity awards granted to our named executive officers that remain outstanding as of December 31, 2024. </w:t>
      </w:r>
    </w:p>
    <w:p>
      <w:pPr>
        <w:pStyle w:val="TextBody"/>
        <w:bidi w:val="0"/>
        <w:spacing w:before="0" w:after="0"/>
        <w:jc w:val="left"/>
        <w:rPr/>
      </w:pPr>
      <w:r>
        <w:rPr/>
        <w:t> </w:t>
      </w:r>
    </w:p>
    <w:tbl>
      <w:tblPr>
        <w:tblW w:w="11850" w:type="dxa"/>
        <w:jc w:val="left"/>
        <w:tblInd w:w="0" w:type="dxa"/>
        <w:tblLayout w:type="fixed"/>
        <w:tblCellMar>
          <w:top w:w="0" w:type="dxa"/>
          <w:left w:w="0" w:type="dxa"/>
          <w:bottom w:w="0" w:type="dxa"/>
          <w:right w:w="0" w:type="dxa"/>
        </w:tblCellMar>
      </w:tblPr>
      <w:tblGrid>
        <w:gridCol w:w="1190"/>
        <w:gridCol w:w="60"/>
        <w:gridCol w:w="60"/>
        <w:gridCol w:w="575"/>
        <w:gridCol w:w="335"/>
        <w:gridCol w:w="60"/>
        <w:gridCol w:w="98"/>
        <w:gridCol w:w="1122"/>
        <w:gridCol w:w="60"/>
        <w:gridCol w:w="60"/>
        <w:gridCol w:w="113"/>
        <w:gridCol w:w="1287"/>
        <w:gridCol w:w="60"/>
        <w:gridCol w:w="60"/>
        <w:gridCol w:w="78"/>
        <w:gridCol w:w="737"/>
        <w:gridCol w:w="335"/>
        <w:gridCol w:w="60"/>
        <w:gridCol w:w="113"/>
        <w:gridCol w:w="942"/>
        <w:gridCol w:w="60"/>
        <w:gridCol w:w="60"/>
        <w:gridCol w:w="91"/>
        <w:gridCol w:w="1039"/>
        <w:gridCol w:w="60"/>
        <w:gridCol w:w="60"/>
        <w:gridCol w:w="96"/>
        <w:gridCol w:w="1289"/>
        <w:gridCol w:w="60"/>
        <w:gridCol w:w="60"/>
        <w:gridCol w:w="108"/>
        <w:gridCol w:w="1232"/>
        <w:gridCol w:w="23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Stock Awards(1)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r>
            <w:r>
              <w:rPr/>
              <w:br/>
            </w:r>
            <w:r>
              <w:rPr>
                <w:b/>
              </w:rPr>
              <w:t>underlying</w:t>
            </w:r>
            <w:r>
              <w:rPr/>
              <w:br/>
            </w:r>
            <w:r>
              <w:rPr>
                <w:b/>
              </w:rPr>
              <w:t>unexercised</w:t>
            </w:r>
            <w:r>
              <w:rPr/>
              <w:br/>
            </w:r>
            <w:r>
              <w:rPr>
                <w:b/>
              </w:rPr>
              <w:t>options (#)</w:t>
              <w:b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price(2)</w:t>
              <w:b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shares or</w:t>
              <w:br/>
              <w:t>units of</w:t>
              <w:br/>
              <w:t>stock that</w:t>
              <w:br/>
              <w:t>have not</w:t>
              <w:br/>
              <w:t>vested</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of</w:t>
              <w:br/>
              <w:t>units of stock</w:t>
              <w:br/>
              <w:t>that have not</w:t>
              <w:br/>
              <w:t>vested(12)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br/>
              <w:t>Incentive</w:t>
              <w:br/>
              <w:t>Plan</w:t>
            </w:r>
            <w:r>
              <w:rPr/>
              <w:br/>
            </w:r>
            <w:r>
              <w:rPr>
                <w:b/>
              </w:rPr>
              <w:t>Awards:</w:t>
              <w:br/>
              <w:t>Number of</w:t>
            </w:r>
            <w:r>
              <w:rPr/>
              <w:br/>
            </w:r>
            <w:r>
              <w:rPr>
                <w:b/>
              </w:rPr>
              <w:t>Unearned</w:t>
              <w:br/>
              <w:t>Shares,</w:t>
            </w:r>
            <w:r>
              <w:rPr/>
              <w:br/>
            </w:r>
            <w:r>
              <w:rPr>
                <w:b/>
              </w:rPr>
              <w:t>Units or</w:t>
              <w:br/>
              <w:t>Other Rights</w:t>
            </w:r>
            <w:r>
              <w:rPr/>
              <w:br/>
            </w:r>
            <w:r>
              <w:rPr>
                <w:b/>
              </w:rPr>
              <w:t>That Have</w:t>
              <w:br/>
              <w:t>Not Vested</w:t>
            </w:r>
            <w:r>
              <w:rPr/>
              <w:br/>
            </w:r>
            <w:r>
              <w:rPr>
                <w:b/>
              </w:rPr>
              <w:t>(#)</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 Vernachio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6/26/2021</w:t>
            </w:r>
          </w:p>
        </w:tc>
        <w:tc>
          <w:tcPr>
            <w:tcW w:w="33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87.78</w:t>
            </w:r>
          </w:p>
        </w:tc>
        <w:tc>
          <w:tcPr>
            <w:tcW w:w="335" w:type="dxa"/>
            <w:tcBorders/>
            <w:shd w:fill="CCEEFF" w:val="clear"/>
            <w:vAlign w:val="center"/>
          </w:tcPr>
          <w:p>
            <w:pPr>
              <w:pStyle w:val="TableContents"/>
              <w:bidi w:val="0"/>
              <w:spacing w:before="0" w:after="283"/>
              <w:jc w:val="left"/>
              <w:rPr/>
            </w:pPr>
            <w:r>
              <w:rPr/>
              <w:t>(13)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6/25/2031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6/26/2021</w:t>
            </w:r>
          </w:p>
        </w:tc>
        <w:tc>
          <w:tcPr>
            <w:tcW w:w="33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87.80</w:t>
            </w:r>
          </w:p>
        </w:tc>
        <w:tc>
          <w:tcPr>
            <w:tcW w:w="335" w:type="dxa"/>
            <w:tcBorders/>
            <w:shd w:fill="CCEEFF" w:val="clear"/>
            <w:vAlign w:val="center"/>
          </w:tcPr>
          <w:p>
            <w:pPr>
              <w:pStyle w:val="TableContents"/>
              <w:bidi w:val="0"/>
              <w:spacing w:before="0" w:after="283"/>
              <w:jc w:val="left"/>
              <w:rPr/>
            </w:pPr>
            <w:r>
              <w:rPr/>
              <w:t>(13)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6/25/2031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8/16/2023</w:t>
            </w:r>
          </w:p>
        </w:tc>
        <w:tc>
          <w:tcPr>
            <w:tcW w:w="33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3/15/2024</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55,936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3/15/2024</w:t>
            </w:r>
          </w:p>
        </w:tc>
        <w:tc>
          <w:tcPr>
            <w:tcW w:w="33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16,371</w:t>
            </w:r>
          </w:p>
        </w:tc>
        <w:tc>
          <w:tcPr>
            <w:tcW w:w="230" w:type="dxa"/>
            <w:tcBorders/>
            <w:shd w:fill="CCEEFF" w:val="clear"/>
            <w:vAlign w:val="center"/>
          </w:tcPr>
          <w:p>
            <w:pPr>
              <w:pStyle w:val="TableContents"/>
              <w:bidi w:val="0"/>
              <w:spacing w:before="0" w:after="283"/>
              <w:jc w:val="left"/>
              <w:rPr/>
            </w:pPr>
            <w:r>
              <w:rPr/>
              <w:t>(6)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4/18/2025</w:t>
            </w:r>
          </w:p>
        </w:tc>
        <w:tc>
          <w:tcPr>
            <w:tcW w:w="33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42,637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174,812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4/18/2025</w:t>
            </w:r>
          </w:p>
        </w:tc>
        <w:tc>
          <w:tcPr>
            <w:tcW w:w="33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27,409</w:t>
            </w:r>
          </w:p>
        </w:tc>
        <w:tc>
          <w:tcPr>
            <w:tcW w:w="230" w:type="dxa"/>
            <w:tcBorders/>
            <w:shd w:fill="CCEEFF" w:val="clear"/>
            <w:vAlign w:val="center"/>
          </w:tcPr>
          <w:p>
            <w:pPr>
              <w:pStyle w:val="TableContents"/>
              <w:bidi w:val="0"/>
              <w:spacing w:before="0" w:after="283"/>
              <w:jc w:val="left"/>
              <w:rPr/>
            </w:pPr>
            <w:r>
              <w:rPr/>
              <w:t>(6) </w:t>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 Mitchell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5/1/2023</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25.00</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5/1/2033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5/1/2023</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25,856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180,216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9/1/2024</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41,000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3/1/2025</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127,788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3/1/2025</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10,000</w:t>
            </w:r>
          </w:p>
        </w:tc>
        <w:tc>
          <w:tcPr>
            <w:tcW w:w="230" w:type="dxa"/>
            <w:tcBorders/>
            <w:vAlign w:val="center"/>
          </w:tcPr>
          <w:p>
            <w:pPr>
              <w:pStyle w:val="TableContents"/>
              <w:bidi w:val="0"/>
              <w:spacing w:before="0" w:after="283"/>
              <w:jc w:val="left"/>
              <w:rPr/>
            </w:pPr>
            <w:r>
              <w:rPr/>
              <w:t>(6)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the exception of Mr. Vernachio’s options award on June 26, 2021, which was granted under the 2015 Plan, all other option awards listed in the table were granted under our 2021 Plan; all of the RSUs and PSUs listed in the table were granted under our 2021 Plan. Certain of the equity awards are subject to vesting acceleration as described under “—Potential Payments upon Termination or Change in Control.” Option awards granted under our 2021 Plan and 2015 Plan are exercisable for our Class A common stock and Class B common stock, respectively.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option awards listed in the table were granted with a per share exercise price equal to or above the fair market value of one share of our common stock on the date of grant, as determined in good faith by our Board of Directors; option awards that have been repriced have a per share fair market value that was equal to the closing market price of our Class A common stock on May 20, 2022, the repricing date.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One-fourth of the shares subject to this option vested on June 1, 2022, and the remainder of the shares vest in 36 equal monthly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One-twelfth of the restricted stock units vested on September 1, 2023, and the remainder of the shares vest in 12 successive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One-twelfth of the restricted stock units vested on June 1, 2024, and 1/12 of the RSUs vest in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market value of the PSUs that vest based upon the achievement of certain Company stock price targets during specified measurement periods reflect threshold performance. The actual numbers of shares that will be distributed with respect to the PSUs are not yet determinable.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(7)</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One-twelfth of the restricted stock units vested on June 30, 2025, and 1/12 of the RSUs vest in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(8)</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One-fourth of the shares subject to this option vested on June 1, 2024, and the remainder of the shares vest in 12 successive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(9)</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One-fourth of the restricted stock units vested on June 1, 2024, and the remainder of the shares vest in 12 successive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One-twelfth of the restricted stock units vested on September 1, 2024, and the remainder of the shares vest in 12 successive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pPr>
            <w:r>
              <w:rPr/>
              <w:t>(11)</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One-twelfth of the restricted stock units vested on June 1, 2025, and the remainder of the shares vest in 12 successive equal quarterly installments thereafter, subject to the holder’s continuous service with us.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(12)</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our Class A common stock is based on the closing price of our Class A common stock on the Nasdaq Global Select Market on December 31, 2025, which was $4.10. </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(13)</w:t>
            </w:r>
          </w:p>
        </w:tc>
        <w:tc>
          <w:tcPr>
            <w:tcW w:w="98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certain option awards held by Mr. Vernachio reflect slight differences for the same grant due to rounding from the Company’s reverse stock split on September 4, 2024, as applied to different portions of the grant based on income tax classification.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Retirement Benefits, and Perquisites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Health and Welfare </w:t>
      </w:r>
    </w:p>
    <w:p>
      <w:pPr>
        <w:pStyle w:val="TextBody"/>
        <w:bidi w:val="0"/>
        <w:spacing w:before="120" w:after="0"/>
        <w:jc w:val="left"/>
        <w:rPr>
          <w:rFonts w:ascii="Times New Roman" w:hAnsi="Times New Roman"/>
          <w:sz w:val="20"/>
        </w:rPr>
      </w:pPr>
      <w:r>
        <w:rPr>
          <w:rFonts w:ascii="Times New Roman" w:hAnsi="Times New Roman"/>
          <w:sz w:val="20"/>
        </w:rPr>
        <w:t xml:space="preserve">All of our current named executive officers are eligible to participate in our employee benefit plans, including our medical, dental, vision, disability, and life insurance plans, in each case on the same basis as all of our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a defined contribution retirement plan that provides eligible U.S. employees with an opportunity to save for retirement on a tax advantaged basis. Eligible employees may defer eligible compensation on a pre-tax or after-tax (Roth) basis, up to the statutorily prescribed annual limits on contributions under the Code. The 401(k) plan is intended to be qualified under Section 401(a) of the Code with the 401(k) plan’s related trust intended to be tax exempt under Section 501(a)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w:t>
      </w:r>
    </w:p>
    <w:p>
      <w:pPr>
        <w:pStyle w:val="TextBody"/>
        <w:bidi w:val="0"/>
        <w:spacing w:before="120" w:after="0"/>
        <w:jc w:val="left"/>
        <w:rPr>
          <w:rFonts w:ascii="Times New Roman" w:hAnsi="Times New Roman"/>
          <w:sz w:val="20"/>
        </w:rPr>
      </w:pPr>
      <w:r>
        <w:rPr>
          <w:rFonts w:ascii="Times New Roman" w:hAnsi="Times New Roman"/>
          <w:sz w:val="20"/>
        </w:rPr>
        <w:t xml:space="preserve">In general, we do not offer perquisites to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Employment Agreements with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Each of our named executive officers is employed at-will. We have entered into offer letter agreements with Ms. Mitchell and Mr. Vernachio, the material terms of which are summarized below. In addition, each of our named executive officers has executed our standard form of confidential information and inventions assignment agreement and may become eligible for severance or change in control benefits under our Severance and Change in Control Plan, as described below under “—Potential Payments upon Termination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 Mitchell </w:t>
      </w:r>
    </w:p>
    <w:p>
      <w:pPr>
        <w:pStyle w:val="TextBody"/>
        <w:bidi w:val="0"/>
        <w:spacing w:before="120" w:after="0"/>
        <w:jc w:val="left"/>
        <w:rPr>
          <w:rFonts w:ascii="Times New Roman" w:hAnsi="Times New Roman"/>
          <w:sz w:val="20"/>
        </w:rPr>
      </w:pPr>
      <w:r>
        <w:rPr>
          <w:rFonts w:ascii="Times New Roman" w:hAnsi="Times New Roman"/>
          <w:sz w:val="20"/>
        </w:rPr>
        <w:t xml:space="preserve">In March 2023, we entered into an offer letter with Ms. Mitchell that governed the terms of her current employment with us. Pursuant to the offer letter, Ms. Mitchell was entitled to an initial annual base salary of $375,000, which was subject to adjustment at the discretion of our Board, and an annual bonus of up to 80% of her annual base salary with a target equal to 40% of her annual base salary to be awarded based upon the achievement of individual and company performance goals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start of her employment with us, our Board granted Ms. Mitchell an option to purchase 80,000 shares of our Class A common stock with an exercise price of $1.25 and an RSU award of 41,368 shares of our Class A common stock, both subject to the terms of our 2021 Plan and an applicable award agreement. The options vest with respect to 25% of the shares subject to the option on June 1, 2024, and with respect to the remaining shares subject to the option, in 12 equal quarterly installments thereafter. The RSUs vest with respect to 25% of the shares subject to the RSUs on June 1, 2024, and with respect to the remaining shares subject to the RSUs, in 12 equal quarterly installments thereafter. Pursuant to Ms. Mitchell’s offer letter, she received a one-time, signing bonus equal to $12,000 and up to $10,000 in reimbursable relocation expenses.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Compensation Committee approved a revised compensation package for Ms. Mitchell. Effective June 18, 2026, she will receive an annual base salary of $450,000 and will be eligible to receive an annual performance bonus with a target of 50% of her base salary. Any actual annual performance bonus amount will be based upon the Board’s good faith assessment of Ms. Mitchell’s and the Company’s attainment of goals established by the Board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also approved the grant to Ms. Mitchell on June 18, 2026 of an award of 766,190 RSUs, pursuant to the 2021 Plan and standard form of award agreement thereunder. 1/12th of the shares underlying the award will vest on the three-month anniversary of the date of grant, and the remaining shares underlying the award will vest in 11 equal quarterly installments on each vesting date thereafter, subject to Ms. Mitchell’s continuous service to the Company as of each such vesting date. </w:t>
      </w:r>
    </w:p>
    <w:p>
      <w:pPr>
        <w:pStyle w:val="TextBody"/>
        <w:bidi w:val="0"/>
        <w:spacing w:before="360" w:after="0"/>
        <w:jc w:val="left"/>
        <w:rPr>
          <w:rFonts w:ascii="Times New Roman" w:hAnsi="Times New Roman"/>
          <w:b/>
          <w:i/>
          <w:sz w:val="20"/>
        </w:rPr>
      </w:pPr>
      <w:r>
        <w:rPr>
          <w:rFonts w:ascii="Times New Roman" w:hAnsi="Times New Roman"/>
          <w:b/>
          <w:i/>
          <w:sz w:val="20"/>
        </w:rPr>
        <w:t>Joe Vernachio</w:t>
      </w:r>
    </w:p>
    <w:p>
      <w:pPr>
        <w:pStyle w:val="TextBody"/>
        <w:bidi w:val="0"/>
        <w:spacing w:before="120" w:after="0"/>
        <w:jc w:val="left"/>
        <w:rPr>
          <w:rFonts w:ascii="Times New Roman" w:hAnsi="Times New Roman"/>
          <w:sz w:val="20"/>
        </w:rPr>
      </w:pPr>
      <w:r>
        <w:rPr>
          <w:rFonts w:ascii="Times New Roman" w:hAnsi="Times New Roman"/>
          <w:sz w:val="20"/>
        </w:rPr>
        <w:t xml:space="preserve">Mr. Vernachio joined our Company in 2021 and resigned from his role as President, Chief Executive Officer and Secretary and as a member of our Board effective June 19, 2026. </w:t>
      </w:r>
    </w:p>
    <w:p>
      <w:pPr>
        <w:pStyle w:val="TextBody"/>
        <w:bidi w:val="0"/>
        <w:spacing w:before="240" w:after="0"/>
        <w:jc w:val="left"/>
        <w:rPr>
          <w:rFonts w:ascii="Times New Roman" w:hAnsi="Times New Roman"/>
          <w:sz w:val="20"/>
        </w:rPr>
      </w:pPr>
      <w:r>
        <w:rPr>
          <w:rFonts w:ascii="Times New Roman" w:hAnsi="Times New Roman"/>
          <w:sz w:val="20"/>
        </w:rPr>
        <w:t xml:space="preserve">In May 2021, we entered into an offer letter with Mr. Vernachio that previously governed the terms of his employment with us (the “2021 offer letter”). Pursuant to the 2021 offer letter, Mr. Vernachio was entitled to an initial annual base salary of $350,000, which was subject to adjustment at the discretion of our Board, and an annual bonus of up to 70% of his annual base salary with a target equal to 35% of his annual base salary to be awarded based upon the achievement of individual and company performance goals as determined by our Board. Mr. Vernachio’s annual bonus target for 2023 was increased by the Compensation Committee to a target bonus equal to 45% of his annual base salary and a maximum of 90%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start of his employment with us, our Board granted Mr. Vernachio an option to purchase 21,251 shares of our Class B common stock with an exercise price of $168.60 per share, pursuant to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2015 Plan and an applicable stock option agreement. The options vested with respect to 25% of the shares subject to the option on June 1, 2022, and with respect to the remaining shares subject to the option, in equal monthly installments thereafter for a 36-month period. The options were repriced in May 2022 on a one-for-one basis to $87.80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Mr. Vernachio’s 2021 offer letter, his option grant provided for in the 2021 offer letter will vest in full if, within 30 days before the execution of a definitive agreement providing for a change in control (as defined in the 2015 Plan) or 12 months following a change in control, his employment with us is terminated without cause (as defined in the 2021 offer letter) or he terminates his employment for good reason (as defined in the 2021 offer letter), and such separation is not a result of his death or disability. </w:t>
      </w:r>
    </w:p>
    <w:p>
      <w:pPr>
        <w:pStyle w:val="TextBody"/>
        <w:bidi w:val="0"/>
        <w:spacing w:before="240" w:after="0"/>
        <w:jc w:val="left"/>
        <w:rPr>
          <w:rFonts w:ascii="Times New Roman" w:hAnsi="Times New Roman"/>
          <w:sz w:val="20"/>
        </w:rPr>
      </w:pPr>
      <w:r>
        <w:rPr>
          <w:rFonts w:ascii="Times New Roman" w:hAnsi="Times New Roman"/>
          <w:sz w:val="20"/>
        </w:rPr>
        <w:t xml:space="preserve">In March 2024, we entered into a new offer letter with Mr. Vernachio that governed his new role as the Company’s President and Chief Executive Officer (the “2024 offer letter”). Pursuant to the 2024 offer letter, Mr. Vernachio was entitled to an initial annual base salary of $500,000, which was subject to adjustment at the discretion of our Board, and an annual bonus with a target equal to 80% of his annual base salary to be awarded based upon the achievement of individual and company performance goals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our Board granted to Mr. Vernachio (i) an award of RSUs with a grant date value of $600,000, and (ii) an award of PSUs with a grant date value of $600,000. The RSUs vested with respect to 1/12th of the shares on the three-month anniversary of the grant date, and with respect to the remaining shares subject to the RSUs, in 11 equal quarterly installments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PSU Award would become eligible to vest upon the attainment of certain stock price goals, as described below. None of the PSUs vested purely based on continued employment. The dollar value of the PSU Award would be converted into a number of shares of Common Stock by dividing (i) the value of the PSU Award, by (ii) the average closing price of shares on the Nasdaq Stock Market for the 30 trading days immediately prior to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The PSUs were eligible to vest based on the Company’s stock price performance over a three-year performance period beginning on March 15, 2024 (the “Grant Date”) and ending March 15, 2027. The PSUs were divided into two tranches. Each tranche was eligible to vest based on the achievement of a stock price goal (each, a “Company Stock Price Target”), measured based on the average of the closing prices of the Common Stock over a consecutive 30 trading day period during the performance period as set forth below. This measurement period was designed to reward Mr. Vernachio only if the Company achieved sustained growth in the Company’s stock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a summary of each tranche, including the percentage of PSUs eligible to vest per tranche and the applicable Company Stock Price Target. </w:t>
      </w:r>
    </w:p>
    <w:p>
      <w:pPr>
        <w:pStyle w:val="TextBody"/>
        <w:bidi w:val="0"/>
        <w:spacing w:before="0" w:after="0"/>
        <w:jc w:val="left"/>
        <w:rPr/>
      </w:pPr>
      <w:r>
        <w:rPr/>
        <w:t> </w:t>
      </w:r>
    </w:p>
    <w:tbl>
      <w:tblPr>
        <w:tblW w:w="4680" w:type="dxa"/>
        <w:jc w:val="left"/>
        <w:tblInd w:w="0" w:type="dxa"/>
        <w:tblLayout w:type="fixed"/>
        <w:tblCellMar>
          <w:top w:w="0" w:type="dxa"/>
          <w:left w:w="0" w:type="dxa"/>
          <w:bottom w:w="0" w:type="dxa"/>
          <w:right w:w="0" w:type="dxa"/>
        </w:tblCellMar>
      </w:tblPr>
      <w:tblGrid>
        <w:gridCol w:w="635"/>
        <w:gridCol w:w="120"/>
        <w:gridCol w:w="331"/>
        <w:gridCol w:w="1324"/>
        <w:gridCol w:w="60"/>
        <w:gridCol w:w="120"/>
        <w:gridCol w:w="88"/>
        <w:gridCol w:w="1927"/>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Tranche</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Company Stock</w:t>
              <w:br/>
              <w:t>Price 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PSUs</w:t>
              <w:br/>
              <w:t>eligible to vest</w:t>
            </w:r>
          </w:p>
        </w:tc>
        <w:tc>
          <w:tcPr>
            <w:tcW w:w="75"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27" w:type="dxa"/>
            <w:tcBorders/>
            <w:shd w:fill="CCEEFF" w:val="clear"/>
            <w:vAlign w:val="center"/>
          </w:tcPr>
          <w:p>
            <w:pPr>
              <w:pStyle w:val="TableContents"/>
              <w:bidi w:val="0"/>
              <w:spacing w:before="0" w:after="283"/>
              <w:jc w:val="right"/>
              <w:rPr/>
            </w:pPr>
            <w:r>
              <w:rPr/>
              <w:t>50% of PSUs</w:t>
            </w:r>
          </w:p>
        </w:tc>
        <w:tc>
          <w:tcPr>
            <w:tcW w:w="75"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right"/>
              <w:rPr/>
            </w:pPr>
            <w:r>
              <w:rPr/>
              <w:t>50% of PSUs</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achievement of a Company Stock Price Target, the PSUs in the applicable tranche would vest 50% upon the certification of achievement by the Management Compensation and Leadership Committee of the Board and 50% on the one-year anniversary of such certification, subject in each case to Mr. Vernachio’s continued service as CEO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If the average closing price of the Common Stock failed to reach the Company Stock Price Target for a particular tranche of the PSUs over a consecutive 30 trading day period during the performance period, or if Mr. Vernachio terminated service to the Company as CEO before achieving the Company Stock Price Target, no portion of that tranche would vest and unearned shares would be forfeited. The Company Stock Price Targets and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underlying the PSUs would be adjusted to reflect any stock splits, stock dividends, combinations, reorganizations, reclassifications, or similar event under the 2021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(as such term is defined in the 2021 Plan) of the Company before the end of the performance period, the price in the change in control would be used to determine performance versus the Company Stock Price Targets for each tranche. For each tranche, if the change in control price exceeded the respective tranche’s Company Stock Price Target, all PSUs subject to that tranche would be earned. PSUs earned based on the change in control price would vest immediately prior to the closing of the change in control and any unearned PSUs would be forfeited.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Each of our named executive officers is eligible to participate in our Severance and Change in Control Plan (the “Severance Plan”) as described immediately below, and each of our named executive officers entered into a Severance Plan participation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Severance Plan and an applicable participation agreement thereunder, each of our named executive officers would be eligible to receive certain benefits in the event such officer is involuntarily terminated by us without cause (excluding an involuntary termination due to death or disability) or voluntarily resigns for good reason (as each such term is defined in the Severance Plan) (such termination referred to as a “covered termination”), and enhanced benefits in the event that such covered termination occurs during the period commencing three months prior to, and ending 12 months following, the closing of a change in control (as defined in the 2021 Plan). Such benefits are contingent on the officer’s execution and non-revocation of a general release of claims in favor of the Company and certain related parties, unless otherwise stated, and satisfaction of other terms and conditions as described in the Severance Plan and the applicable participation agreement. Any eligibility for benefits under the Severance Plan supersedes and replaces any other plan, policy or practice providing for severance benefits to which an officer may have otherwise been previously entitled. </w:t>
      </w:r>
    </w:p>
    <w:p>
      <w:pPr>
        <w:pStyle w:val="TextBody"/>
        <w:bidi w:val="0"/>
        <w:spacing w:before="240" w:after="0"/>
        <w:jc w:val="left"/>
        <w:rPr>
          <w:rFonts w:ascii="Times New Roman" w:hAnsi="Times New Roman"/>
          <w:sz w:val="20"/>
        </w:rPr>
      </w:pPr>
      <w:r>
        <w:rPr>
          <w:rFonts w:ascii="Times New Roman" w:hAnsi="Times New Roman"/>
          <w:sz w:val="20"/>
        </w:rPr>
        <w:t xml:space="preserve">If such covered termination occurs prior to (i) the officer’s completion of 12 months of continuous service with us and (ii) a change in control, he will be eligible to receive a cash payment in an amount equal to six months of his annual base salary and continuation of health benefits for himself and his eligible dependents under COBRA (or an equivalent taxable cash amount) for up to six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such covered termination occurs during the period commencing three months prior to, and ending 12 months following, the closing of a change in control, each officer will instead be eligible to receive a </w:t>
      </w:r>
    </w:p>
    <w:p>
      <w:pPr>
        <w:pStyle w:val="TextBody"/>
        <w:bidi w:val="0"/>
        <w:spacing w:before="0" w:after="0"/>
        <w:jc w:val="left"/>
        <w:rPr>
          <w:rFonts w:ascii="Times New Roman" w:hAnsi="Times New Roman"/>
          <w:sz w:val="20"/>
        </w:rPr>
      </w:pPr>
      <w:r>
        <w:rPr>
          <w:rFonts w:ascii="Times New Roman" w:hAnsi="Times New Roman"/>
          <w:sz w:val="20"/>
        </w:rPr>
        <w:t>lump-sum</w:t>
      </w:r>
    </w:p>
    <w:p>
      <w:pPr>
        <w:pStyle w:val="TextBody"/>
        <w:bidi w:val="0"/>
        <w:spacing w:before="0" w:after="0"/>
        <w:jc w:val="left"/>
        <w:rPr>
          <w:rFonts w:ascii="Times New Roman" w:hAnsi="Times New Roman"/>
          <w:sz w:val="20"/>
        </w:rPr>
      </w:pPr>
      <w:r>
        <w:rPr>
          <w:rFonts w:ascii="Times New Roman" w:hAnsi="Times New Roman"/>
          <w:sz w:val="20"/>
        </w:rPr>
        <w:t xml:space="preserve">cash payment equal to the sum of (i) 12 months of the officer’s then-current base salary (without giving effect to any reduction triggering good reason), (ii) a prorated portion of such officer’s target bonus for the year in which the covered termination occurs, assuming that any articulated performance goals are achieved at 100% of target, and (iii) continuation of health benefits for the officer and his eligible dependents under COBRA (or an equivalent taxable cash amount) for up to 12 months following the covered termination. Further, the vesting and exercisability of each equity award held by such officer that is subject to time-based vesting shall become fully vested (and, if applicable, fully exercisable); any equity awards subject to performance-vesting shall vest and become exercisable according to the terms of such individual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in connection with our change in control, the succeeding or acquiring entity does not assume or continue any outstanding, unvested equity award, and such officer’s continuing employment has not terminated as of immediately prior to the effective time of such change in control, all such equity awards will become fully vested (and, as applicable, fully exercisable), subject to consummation of the change in control transaction, with performance-based awards accelerating as if achieved at 100% of the target level. Such acceleration does not require a covered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In 2023, Nasdaq adopted new listing standards addressing policy requirements for the mandatory recovery of executive incentive-based compensation by issuers with securities listed on the exchange. Following the adoption of these Nasdaq listing standards, the Board approved and adopted the Company’s Incentive Compensation Recoupment Policy, which adheres to the listing standards of the Nasdaq and the rules of the SEC. In the event the Company is required to prepare an accounting restatement, the policy provides for the mandatory recovery of erroneously awarded incentive-based compensation received by current or former executive officers during the coverage period to the extent that compensation was based on the attainment of a financial reporting measure. Under the policy, the Compensation Committee will require recoupment if it determines that incentive-based compensation received by an executive exceeds the amount of incentive-based compensation that otherwise would have been received, had it been calculated based on the restated amounts. </w:t>
      </w:r>
    </w:p>
    <w:p>
      <w:pPr>
        <w:pStyle w:val="TextBody"/>
        <w:bidi w:val="0"/>
        <w:spacing w:before="360" w:after="0"/>
        <w:jc w:val="left"/>
        <w:rPr>
          <w:rFonts w:ascii="Times New Roman" w:hAnsi="Times New Roman"/>
          <w:b/>
          <w:sz w:val="20"/>
        </w:rPr>
      </w:pPr>
      <w:r>
        <w:rPr>
          <w:rFonts w:ascii="Times New Roman" w:hAnsi="Times New Roman"/>
          <w:b/>
          <w:sz w:val="20"/>
        </w:rPr>
        <w:t xml:space="preserve">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grant equity awards in anticipation of the release of material nonpublic information and we </w:t>
      </w:r>
    </w:p>
    <w:p>
      <w:pPr>
        <w:pStyle w:val="TextBody"/>
        <w:bidi w:val="0"/>
        <w:spacing w:before="120" w:after="0"/>
        <w:jc w:val="left"/>
        <w:rPr>
          <w:rFonts w:ascii="Times New Roman" w:hAnsi="Times New Roman"/>
          <w:sz w:val="20"/>
        </w:rPr>
      </w:pPr>
      <w:r>
        <w:rPr>
          <w:rFonts w:ascii="Times New Roman" w:hAnsi="Times New Roman"/>
          <w:sz w:val="20"/>
        </w:rPr>
        <w:t>do not time</w:t>
      </w:r>
    </w:p>
    <w:p>
      <w:pPr>
        <w:pStyle w:val="TextBody"/>
        <w:bidi w:val="0"/>
        <w:spacing w:before="120" w:after="0"/>
        <w:jc w:val="left"/>
        <w:rPr>
          <w:rFonts w:ascii="Times New Roman" w:hAnsi="Times New Roman"/>
          <w:sz w:val="20"/>
        </w:rPr>
      </w:pPr>
      <w:r>
        <w:rPr>
          <w:rFonts w:ascii="Times New Roman" w:hAnsi="Times New Roman"/>
          <w:sz w:val="20"/>
        </w:rPr>
        <w:t xml:space="preserve">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or practice with respect to the timing of our equity award grants, the Board has historically granted such awards on a predetermined annual schedule. In fiscal 2025, we did not grant new awards of stock options to our NEOs during the time period outlined in Item 402(x)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equity compensation plan information as of February 28, 2026. Information is included for equity compensation plans approved by our stockholders. We do not have any equity compensation plans not approved by our stockholders: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14"/>
        <w:gridCol w:w="60"/>
        <w:gridCol w:w="115"/>
        <w:gridCol w:w="1480"/>
        <w:gridCol w:w="310"/>
        <w:gridCol w:w="60"/>
        <w:gridCol w:w="108"/>
        <w:gridCol w:w="1442"/>
        <w:gridCol w:w="60"/>
        <w:gridCol w:w="60"/>
        <w:gridCol w:w="258"/>
        <w:gridCol w:w="1032"/>
        <w:gridCol w:w="60"/>
        <w:gridCol w:w="60"/>
        <w:gridCol w:w="121"/>
        <w:gridCol w:w="1624"/>
        <w:gridCol w:w="541"/>
      </w:tblGrid>
      <w:tr>
        <w:trPr/>
        <w:tc>
          <w:tcPr>
            <w:tcW w:w="2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1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of</w:t>
              <w:br/>
              <w:t>Common Stock</w:t>
            </w:r>
          </w:p>
        </w:tc>
        <w:tc>
          <w:tcPr>
            <w:tcW w:w="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 to be</w:t>
            </w:r>
            <w:r>
              <w:rPr/>
              <w:br/>
            </w:r>
            <w:r>
              <w:rPr>
                <w:b/>
              </w:rPr>
              <w:t>Issued Upon</w:t>
            </w:r>
            <w:r>
              <w:rPr/>
              <w:br/>
            </w:r>
            <w:r>
              <w:rPr>
                <w:b/>
              </w:rPr>
              <w:t>Exercise of</w:t>
            </w:r>
            <w:r>
              <w:rPr/>
              <w:br/>
            </w:r>
            <w:r>
              <w:rPr>
                <w:b/>
              </w:rPr>
              <w:t>Outstanding</w:t>
            </w:r>
            <w:r>
              <w:rPr/>
              <w:br/>
            </w:r>
            <w:r>
              <w:rPr>
                <w:b/>
              </w:rPr>
              <w:t>Options,</w:t>
            </w:r>
            <w:r>
              <w:rPr/>
              <w:br/>
            </w:r>
            <w:r>
              <w:rPr>
                <w:b/>
              </w:rPr>
              <w:t>Warrants</w:t>
            </w:r>
            <w:r>
              <w:rPr/>
              <w:br/>
            </w:r>
            <w:r>
              <w:rPr>
                <w:b/>
              </w:rPr>
              <w:t>and</w:t>
            </w:r>
            <w:r>
              <w:rPr/>
              <w:br/>
            </w:r>
            <w:r>
              <w:rPr>
                <w:b/>
              </w:rPr>
              <w:t>Rights (a)(1)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Warrants</w:t>
              <w:br/>
              <w:t>and</w:t>
              <w:br/>
              <w:t>Rights (b)(3)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Remaining</w:t>
            </w:r>
            <w:r>
              <w:rPr/>
              <w:br/>
            </w:r>
            <w:r>
              <w:rPr>
                <w:b/>
              </w:rPr>
              <w:t>Available for</w:t>
            </w:r>
            <w:r>
              <w:rPr/>
              <w:br/>
            </w:r>
            <w:r>
              <w:rPr>
                <w:b/>
              </w:rPr>
              <w:t>Future Issuance</w:t>
            </w:r>
            <w:r>
              <w:rPr/>
              <w:br/>
            </w:r>
            <w:r>
              <w:rPr>
                <w:b/>
              </w:rPr>
              <w:t>Under Equity</w:t>
            </w:r>
            <w:r>
              <w:rPr/>
              <w:br/>
            </w:r>
            <w:r>
              <w:rPr>
                <w:b/>
              </w:rPr>
              <w:t>Compensation</w:t>
            </w:r>
            <w:r>
              <w:rPr/>
              <w:br/>
            </w:r>
            <w:r>
              <w:rPr>
                <w:b/>
              </w:rPr>
              <w:t>Plans (Excluding</w:t>
            </w:r>
            <w:r>
              <w:rPr/>
              <w:br/>
            </w:r>
            <w:r>
              <w:rPr>
                <w:b/>
              </w:rPr>
              <w:t>Securities</w:t>
            </w:r>
            <w:r>
              <w:rPr/>
              <w:br/>
            </w:r>
            <w:r>
              <w:rPr>
                <w:b/>
              </w:rPr>
              <w:t>Reflected</w:t>
            </w:r>
            <w:r>
              <w:rPr/>
              <w:br/>
            </w:r>
            <w:r>
              <w:rPr>
                <w:b/>
              </w:rPr>
              <w:t>in Column</w:t>
            </w:r>
            <w:r>
              <w:rPr/>
              <w:br/>
            </w:r>
            <w:r>
              <w:rPr>
                <w:b/>
              </w:rPr>
              <w:t>(a)) (c)</w:t>
            </w:r>
          </w:p>
        </w:tc>
        <w:tc>
          <w:tcPr>
            <w:tcW w:w="541" w:type="dxa"/>
            <w:tcBorders/>
            <w:vAlign w:val="center"/>
          </w:tcPr>
          <w:p>
            <w:pPr>
              <w:pStyle w:val="TableContents"/>
              <w:bidi w:val="0"/>
              <w:spacing w:before="0" w:after="283"/>
              <w:jc w:val="left"/>
              <w:rPr/>
            </w:pPr>
            <w:r>
              <w:rPr/>
              <w:t> </w:t>
            </w:r>
          </w:p>
        </w:tc>
      </w:tr>
      <w:tr>
        <w:trPr/>
        <w:tc>
          <w:tcPr>
            <w:tcW w:w="28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plans approved by stockholders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Class A</w:t>
            </w:r>
          </w:p>
        </w:tc>
        <w:tc>
          <w:tcPr>
            <w:tcW w:w="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761,859</w:t>
            </w:r>
          </w:p>
        </w:tc>
        <w:tc>
          <w:tcPr>
            <w:tcW w:w="541" w:type="dxa"/>
            <w:tcBorders/>
            <w:shd w:fill="CCEEFF" w:val="clear"/>
            <w:vAlign w:val="center"/>
          </w:tcPr>
          <w:p>
            <w:pPr>
              <w:pStyle w:val="TableContents"/>
              <w:bidi w:val="0"/>
              <w:spacing w:before="0" w:after="283"/>
              <w:jc w:val="left"/>
              <w:rPr/>
            </w:pPr>
            <w:r>
              <w:rPr/>
              <w:t>(4)(5) </w:t>
            </w:r>
          </w:p>
        </w:tc>
      </w:tr>
      <w:tr>
        <w:trPr/>
        <w:tc>
          <w:tcPr>
            <w:tcW w:w="2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Class B</w:t>
            </w:r>
          </w:p>
        </w:tc>
        <w:tc>
          <w:tcPr>
            <w:tcW w:w="3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316,542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82.03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4" w:type="dxa"/>
            <w:tcBorders/>
            <w:vAlign w:val="center"/>
          </w:tcPr>
          <w:p>
            <w:pPr>
              <w:pStyle w:val="TableContents"/>
              <w:bidi w:val="0"/>
              <w:spacing w:before="0" w:after="283"/>
              <w:jc w:val="right"/>
              <w:rPr/>
            </w:pPr>
            <w:r>
              <w:rPr/>
              <w:t>— </w:t>
            </w:r>
          </w:p>
        </w:tc>
        <w:tc>
          <w:tcPr>
            <w:tcW w:w="541" w:type="dxa"/>
            <w:tcBorders/>
            <w:vAlign w:val="center"/>
          </w:tcPr>
          <w:p>
            <w:pPr>
              <w:pStyle w:val="TableContents"/>
              <w:bidi w:val="0"/>
              <w:spacing w:before="0" w:after="283"/>
              <w:jc w:val="left"/>
              <w:rPr/>
            </w:pPr>
            <w:r>
              <w:rPr/>
              <w:t> </w:t>
            </w:r>
          </w:p>
        </w:tc>
      </w:tr>
      <w:tr>
        <w:trPr/>
        <w:tc>
          <w:tcPr>
            <w:tcW w:w="28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plans not approved by stockholders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1480"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541"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2021 Plan but does not include future rights to purchase Class A common stock under our 2021 Employee Stock Purchase Plan (the “2021 ESPP”), which depend on a number of factors described in our 2021 ESPP and will not be determined until the end of the applicable purchase period. </w:t>
            </w:r>
          </w:p>
        </w:tc>
      </w:tr>
    </w:tbl>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(2)</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2015 Plan. </w:t>
            </w:r>
          </w:p>
        </w:tc>
      </w:tr>
    </w:tbl>
    <w:tbl>
      <w:tblPr>
        <w:tblW w:w="9670" w:type="dxa"/>
        <w:jc w:val="left"/>
        <w:tblInd w:w="0" w:type="dxa"/>
        <w:tblLayout w:type="fixed"/>
        <w:tblCellMar>
          <w:top w:w="0" w:type="dxa"/>
          <w:left w:w="0" w:type="dxa"/>
          <w:bottom w:w="0" w:type="dxa"/>
          <w:right w:w="0" w:type="dxa"/>
        </w:tblCellMar>
      </w:tblPr>
      <w:tblGrid>
        <w:gridCol w:w="305"/>
        <w:gridCol w:w="9365"/>
      </w:tblGrid>
      <w:tr>
        <w:trPr/>
        <w:tc>
          <w:tcPr>
            <w:tcW w:w="305" w:type="dxa"/>
            <w:tcBorders/>
            <w:vAlign w:val="center"/>
          </w:tcPr>
          <w:p>
            <w:pPr>
              <w:pStyle w:val="TableContents"/>
              <w:bidi w:val="0"/>
              <w:spacing w:before="0" w:after="283"/>
              <w:jc w:val="left"/>
              <w:rPr/>
            </w:pPr>
            <w:r>
              <w:rPr/>
              <w:t>(3)</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weighted-average exercise price excludes any outstanding restricted stock units, which have no exercise price.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2021 Plan and 2021 ESPP. Stock options, restricted stock units, or other stock awards granted under the 2015 Plan that are forfeited, terminated, expired, or repurchased become available for issuance under the 2021 Plan. Following the adoption of the 2021 Plan, no additional stock awards have been or will be granted under the 2015 Plan.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2021 Plan provides that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shares of our common stock (both Class A and Class B) outstanding on December 31 of the immediately preceding year, except that, before the date of any such increase, our Board of Directors may determine that the increase for such year will be a lesser number of shares. In addition, the 2021 ESPP provides that the number of shares of our Class A common stock reserved for issuance will automatically increase on January 1 of each year for a period of 10 years, beginning on January 1, 2022 and continuing through (and including) January 1, 2031, by the lesser of (1) 1% of the total number of shares of our common stock (both Class A and Class B) outstanding on December 31 of the immediately preceding year and (2) 142,500 shares, except that, before the date of any such increase, our Board of Directors may determine that such increase will be less than the amount set forth in clauses (1) and (2). Accordingly, on January 1, 2026, the number of shares of Class A common stock available for issuance under the 2021 Plan and the 2021 ESPP remained flat, pursuant to these provisions. </w:t>
            </w:r>
          </w:p>
        </w:tc>
      </w:tr>
    </w:tbl>
    <w:p>
      <w:pPr>
        <w:pStyle w:val="TextBody"/>
        <w:bidi w:val="0"/>
        <w:spacing w:before="480" w:after="0"/>
        <w:jc w:val="center"/>
        <w:rPr>
          <w:rFonts w:ascii="Times New Roman" w:hAnsi="Times New Roman"/>
          <w:b/>
          <w:sz w:val="20"/>
        </w:rPr>
      </w:pPr>
      <w:bookmarkStart w:id="33" w:name="toc174786_34"/>
      <w:bookmarkEnd w:id="33"/>
      <w:r>
        <w:rPr>
          <w:rFonts w:ascii="Times New Roman" w:hAnsi="Times New Roman"/>
          <w:b/>
          <w:sz w:val="20"/>
        </w:rPr>
        <w:t xml:space="preserve">SECURITY OWNERSHIP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the Company’s common stock as of the Record Date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greater than 5% of our Class A or Class B common stock;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table below have sole voting and sole investment power with respect to all shares that they beneficially own,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9,315,794 shares of Class A common stock and 2,493,399 shares of Class B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restricted stock unit awards that would vest based on service-based vesting conditions within 60 days of the Record Date. However, except as described above, we did not deem such shares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Smartbird, Inc., 425 Page Mill Road, Suite 200, Palo Alto, CA 94306.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5"/>
        <w:gridCol w:w="120"/>
        <w:gridCol w:w="94"/>
        <w:gridCol w:w="1264"/>
        <w:gridCol w:w="94"/>
        <w:gridCol w:w="379"/>
        <w:gridCol w:w="94"/>
        <w:gridCol w:w="510"/>
        <w:gridCol w:w="275"/>
        <w:gridCol w:w="60"/>
        <w:gridCol w:w="78"/>
        <w:gridCol w:w="1288"/>
        <w:gridCol w:w="78"/>
        <w:gridCol w:w="315"/>
        <w:gridCol w:w="78"/>
        <w:gridCol w:w="583"/>
        <w:gridCol w:w="275"/>
        <w:gridCol w:w="60"/>
        <w:gridCol w:w="223"/>
        <w:gridCol w:w="1642"/>
        <w:gridCol w:w="290"/>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 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 Common Stock</w:t>
            </w:r>
          </w:p>
        </w:tc>
        <w:tc>
          <w:tcPr>
            <w:tcW w:w="27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86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 of Total Voting</w:t>
              <w:br/>
              <w:t>Power†</w:t>
            </w:r>
          </w:p>
        </w:tc>
        <w:tc>
          <w:tcPr>
            <w:tcW w:w="290" w:type="dxa"/>
            <w:vMerge w:val="restart"/>
            <w:tcBorders/>
            <w:vAlign w:val="center"/>
          </w:tcPr>
          <w:p>
            <w:pPr>
              <w:pStyle w:val="TableContents"/>
              <w:bidi w:val="0"/>
              <w:spacing w:before="0" w:after="283"/>
              <w:jc w:val="left"/>
              <w:rPr/>
            </w:pPr>
            <w:r>
              <w:rPr/>
              <w:t> </w:t>
            </w:r>
          </w:p>
        </w:tc>
      </w:tr>
      <w:tr>
        <w:trPr/>
        <w:tc>
          <w:tcPr>
            <w:tcW w:w="24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865" w:type="dxa"/>
            <w:gridSpan w:val="2"/>
            <w:vMerge w:val="continue"/>
            <w:tcBorders>
              <w:bottom w:val="single" w:sz="8" w:space="0" w:color="000000"/>
            </w:tcBorders>
            <w:tcMar>
              <w:bottom w:w="28" w:type="dxa"/>
            </w:tcMar>
            <w:vAlign w:val="center"/>
          </w:tcPr>
          <w:p>
            <w:pPr>
              <w:pStyle w:val="Normal"/>
              <w:bidi w:val="0"/>
              <w:jc w:val="left"/>
              <w:rPr/>
            </w:pPr>
            <w:r>
              <w:rPr/>
            </w:r>
          </w:p>
        </w:tc>
        <w:tc>
          <w:tcPr>
            <w:tcW w:w="290" w:type="dxa"/>
            <w:vMerge w:val="continue"/>
            <w:tcBorders/>
            <w:vAlign w:val="center"/>
          </w:tcPr>
          <w:p>
            <w:pPr>
              <w:pStyle w:val="Normal"/>
              <w:bidi w:val="0"/>
              <w:jc w:val="left"/>
              <w:rPr/>
            </w:pPr>
            <w:r>
              <w:rPr/>
            </w:r>
          </w:p>
        </w:tc>
      </w:tr>
      <w:tr>
        <w:trPr/>
        <w:tc>
          <w:tcPr>
            <w:tcW w:w="240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Stockholders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58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642"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Maveron(1)</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841,216</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33.7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24.6</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Fidelity(2)</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720,365</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Ghost Angel LLC(3)</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320,000</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0.9</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Joey Zwillinger(4)</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50,808</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640,548</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24.8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Directors and Nominees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Brown(5)</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44,608</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697,797</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27.6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20.3</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Nadia Carlsten(6)</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335,714</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 Mitchell(7)</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168,352</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Dick Boyce(8)</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7,454</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92,502</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2.7</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Lily Yan Hughes(9)</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10,416</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 Levitan(10)</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17,454</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841,216</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33.7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24.6</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Kasun(11)</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100</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Mora</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(6 persons)(12)</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584,098</w:t>
            </w:r>
          </w:p>
        </w:tc>
        <w:tc>
          <w:tcPr>
            <w:tcW w:w="94"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1,631,515</w:t>
            </w:r>
          </w:p>
        </w:tc>
        <w:tc>
          <w:tcPr>
            <w:tcW w:w="7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65.1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49.1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13G/A filed on February 10, 2023 by entities associated with Maveron. Consists as of December 31, 2022 of (a) 579,367 shares of Class B common stock held by Maveron Equity Partners V, L.P. (“Maveron Equity Partners V”), (b) 189,936 shares of Class B common stock held by MEP Associates V, L.P. (“MEP Associates V”), and (c) 71,913 shares of Class B common stock held by Maveron V Entrepreneurs’ Fund, L.P. (“Maveron V Entrepreneurs”). Maveron General Partner V, LLC (“Maveron General Partner V”) is the general partner of each of Maveron Equity Partners V, MEP Associates V, and Maveron V Entrepreneurs. Dan Levitan, Jason Stoffer, and David Wu are the managing members of Maveron General Partner V and share voting and investment power over the shares held by Maveron Equity Partners V, MEP Associates V, and Maveron V Entrepreneurs. The address for each person and entity listed above is c/o Maveron LLC, 411 1st Avenue South, Suite 600, Seattle, Washington 98104.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13G/A filed on August 6, 2026 by FMR LLC and Abigail P. Johnson. FMR LLC has the sole voting power with respect to 720,365 shares of Class A common stock and sole dispositive power with respect to 720,365 shares of Class A common stock. Abigail P. Johnson is a Director, the Chairman and the Chief Executive Officer of FMR LLC. Members of the Johnson family, including Abigail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person and entity listed above is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 filed on May 1, 2025 by Ghost Angel LLC, of which Adam Parker Draper is the managing member. Ghost Angel LLC has the sole voting and dispositive power with respect to 320,000 shares of Class A common stock held by Ghost Angel LLC. The address for each person and entity listed above is 55 East 3rd Avenue, San Mateo, California, 94401.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available to the Company as of April 13, 2026, the Company believes that the holder’s ownership consists of: (a) 640,548 shares of Class B common stock held by Joseph Z. Zwillinger and Elizabeth L. Zwillinger, as Trustees of the Twin Wolves Revocable Trust under Revocable Trust Agreement dated September 27, 2017, of which Mr. Zwillinger is co-trustee and shares voting and investment power over such shares, and (b) 50,808 shares of Class A common stock. This information differs from the Schedule 13G/A filed by the holder on February 12, 2024, and may not reflect the holder’s current holdings of the Company’s common stock.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666,546 shares of Class B common stock held by Timothy O. Brown and Lindsay T. Brown, as Trustees of the Grenadier Trust Under Revocable Trust Agreement Dated January 22, 2018, of which Mr. Brown is co-trustee and shares voting and investment power over such shares and (b) 44,608 and 31,251 shares of Class A and Class B common stock, respectively, issuable upon the exercise of stock options that were exercisable within 60 days of the Record Date.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(6)</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255,937 shares of Class A common stock, and (b) 79,777 Class A restricted stock units that vest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43,458 shares of Class A common stock, (b) 55,000 shares of Class A common stock issuable upon the exercise of stock options that were exercisable within 60 days of the Record Date, and (c) 69,894 Class A restricted stock units that vest within 60 days of the Record Date.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(8)</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7,454 shares of Class A common stock, and (b) 92,502 shares of Class B common stock. </w:t>
            </w:r>
          </w:p>
        </w:tc>
      </w:tr>
    </w:tbl>
    <w:tbl>
      <w:tblPr>
        <w:tblW w:w="7660" w:type="dxa"/>
        <w:jc w:val="left"/>
        <w:tblInd w:w="0" w:type="dxa"/>
        <w:tblLayout w:type="fixed"/>
        <w:tblCellMar>
          <w:top w:w="0" w:type="dxa"/>
          <w:left w:w="0" w:type="dxa"/>
          <w:bottom w:w="0" w:type="dxa"/>
          <w:right w:w="0" w:type="dxa"/>
        </w:tblCellMar>
      </w:tblPr>
      <w:tblGrid>
        <w:gridCol w:w="305"/>
        <w:gridCol w:w="7355"/>
      </w:tblGrid>
      <w:tr>
        <w:trPr/>
        <w:tc>
          <w:tcPr>
            <w:tcW w:w="305" w:type="dxa"/>
            <w:tcBorders/>
            <w:vAlign w:val="center"/>
          </w:tcPr>
          <w:p>
            <w:pPr>
              <w:pStyle w:val="TableContents"/>
              <w:bidi w:val="0"/>
              <w:spacing w:before="0" w:after="283"/>
              <w:jc w:val="left"/>
              <w:rPr/>
            </w:pPr>
            <w:r>
              <w:rPr/>
              <w:t>(9)</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10,416 Class A restricted stock units that vest within 60 days of the Record Date.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(10)</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17,454 shares of Class A common stock and (b) 841,216 shares of Class B common stock held by Maveron Equity Partners V, MEP Associates V, and Maveron V Entrepreneurs. </w:t>
            </w:r>
          </w:p>
        </w:tc>
      </w:tr>
    </w:tbl>
    <w:tbl>
      <w:tblPr>
        <w:tblW w:w="4450" w:type="dxa"/>
        <w:jc w:val="left"/>
        <w:tblInd w:w="0" w:type="dxa"/>
        <w:tblLayout w:type="fixed"/>
        <w:tblCellMar>
          <w:top w:w="0" w:type="dxa"/>
          <w:left w:w="0" w:type="dxa"/>
          <w:bottom w:w="0" w:type="dxa"/>
          <w:right w:w="0" w:type="dxa"/>
        </w:tblCellMar>
      </w:tblPr>
      <w:tblGrid>
        <w:gridCol w:w="425"/>
        <w:gridCol w:w="4025"/>
      </w:tblGrid>
      <w:tr>
        <w:trPr/>
        <w:tc>
          <w:tcPr>
            <w:tcW w:w="425" w:type="dxa"/>
            <w:tcBorders/>
            <w:vAlign w:val="center"/>
          </w:tcPr>
          <w:p>
            <w:pPr>
              <w:pStyle w:val="TableContents"/>
              <w:bidi w:val="0"/>
              <w:spacing w:before="0" w:after="283"/>
              <w:jc w:val="left"/>
              <w:rPr/>
            </w:pPr>
            <w:r>
              <w:rPr/>
              <w:t>(11)</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 shares of Class A common stock.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324,403 shares of Class A common stock, (b) 99,608 shares of Class A common stock issuable upon the exercise of stock options that were exercisable within 60 days of the Record Date, (c) 160,087 Class A restricted stock units that vest within 60 days of the Record Date, (d) 1,600,264 shares of Class B common stock, and (e) 31,251 shares of Class B common stock issuable upon the exercise of stock options that were exercisable within 60 days of the Record Date. </w:t>
            </w:r>
          </w:p>
        </w:tc>
      </w:tr>
    </w:tbl>
    <w:p>
      <w:pPr>
        <w:pStyle w:val="TextBody"/>
        <w:bidi w:val="0"/>
        <w:spacing w:before="360" w:after="0"/>
        <w:jc w:val="left"/>
        <w:rPr>
          <w:rFonts w:ascii="Times New Roman" w:hAnsi="Times New Roman"/>
          <w:b/>
          <w:sz w:val="20"/>
        </w:rPr>
      </w:pPr>
      <w:bookmarkStart w:id="34" w:name="toc174786_35"/>
      <w:bookmarkEnd w:id="34"/>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executive officers and directors and persons who beneficially own more than 10% of a registered class of our equity securities to file initial reports of ownership and reports of changes in ownership of such securities with the SEC. Based on a review of these reports as filed electronically with the SEC together with written representations by our executive officers and directors, we believe that all of our executive officers, directors, and 10% owners timely complied with all Section 16(a) filing requirements for fiscal 2025, except for one Form 4 in November 2025 for Ms. Hughes related to the initial equity award to her in accordance with the Company’s Non-Employee Director Compensation Policy that was filed late due to an administrative process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174786_36"/>
      <w:bookmarkEnd w:id="35"/>
      <w:r>
        <w:rPr>
          <w:rFonts w:ascii="Times New Roman" w:hAnsi="Times New Roman"/>
          <w:b/>
          <w:sz w:val="20"/>
        </w:rPr>
        <w:t xml:space="preserve">TRANSACTIONS WITH RELATED PERSONS </w:t>
      </w:r>
    </w:p>
    <w:p>
      <w:pPr>
        <w:pStyle w:val="TextBody"/>
        <w:bidi w:val="0"/>
        <w:spacing w:before="240" w:after="0"/>
        <w:jc w:val="left"/>
        <w:rPr>
          <w:rFonts w:ascii="Times New Roman" w:hAnsi="Times New Roman"/>
          <w:b/>
          <w:sz w:val="20"/>
        </w:rPr>
      </w:pPr>
      <w:bookmarkStart w:id="36" w:name="toc174786_37"/>
      <w:bookmarkEnd w:id="36"/>
      <w:r>
        <w:rPr>
          <w:rFonts w:ascii="Times New Roman" w:hAnsi="Times New Roman"/>
          <w:b/>
          <w:sz w:val="20"/>
        </w:rPr>
        <w:t xml:space="preserve">RELATED PERSON TRANSACTIONS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2021 in connection with our IPO, our Board of Directors adopted a written Related 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involving an amount that exceeds $120,000. Transactions involving compensation for services provided to the Company as an employee, director, consultant, or similar capacity by a related person are not covered by this policy. A related person is any person who is, or at any time since the beginning of the Company’s last fiscal year was, a director or executive officer of the Company or a nominee to be director of the Company, or more than 5% stockholder of the Company, including any of their immediate family members, and any entity in which such person is an executive officer, partner, or principal or holds a similar control position or in which such person has a 5% or greater beneficial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in the event that the Company proposes to enter into, or materially amend, a related person transaction, management of the Company shall present such related person transaction to the Audit Committee for review, consideration, and approval or ratification. The presentation shall include, to the extent reasonably available, a description of (a) all of the parties thereto, (b) the interests, direct or indirect, of any related person in the transaction in sufficient detail so as to enable the Audit Committee to fully assess such interests, (c) a description of the purpose of the transaction, (d) all of the material facts of the proposed related person transaction, including the proposed aggregate value of such transaction, or, in the case of indebtedness, that amount of principal that would be involved, (e) the benefits to the Company of the proposed related person transaction, (f) if applicable, the availability of other sources of comparable products or services, (g) an assessment of whether the proposed related person transaction is on terms that are comparable to the terms available to or from, as the case may be, an unrelated third party or to employees generally, and (h) management’s recommendation with respect to the proposed related person transaction. In the event the Audit Committee is asked to consider whether to ratify an ongoing related person transaction, in addition to the information identified above, the presentation shall include a description of the extent of work performed and remaining to be performed in connection with the transaction and an assessment of the potential risks and costs of termination of the transaction, and where appropriate, the possibility of modification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To identify related person transactions in advance, the Company relies on information supplied by its executive officers, directors, and certain significant stockholders. In considering related 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director has a direct or indirect material interest in the proposed transaction, the director must recuse himself or herself from the deliberations and approval. If, however, a proposed related person transaction arises in which all directors are deemed to have a direct or indirect material interest in the transaction, the interested directors may participate in the consideration and approval of the proposed related person transaction. The policy requires that, in determining whether to approve, ratify or reject a related person transaction, the Audit Committee approve only those transactions that, in light of known circumstances, are in, or are not inconsistent with, the best interests of the Company and its stockholders, as the Committee determines in the good faith exercise of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7" w:name="toc174786_38"/>
      <w:bookmarkEnd w:id="37"/>
      <w:r>
        <w:rPr>
          <w:rFonts w:ascii="Times New Roman" w:hAnsi="Times New Roman"/>
          <w:b/>
          <w:sz w:val="20"/>
        </w:rPr>
        <w:t xml:space="preserve">CERTAIN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transactions since January 1, 2024 to which we have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“Non-Employee Director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Consulting Agreement with former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Zwillinger’s resignation as our Chief Executive Officer, in March 2024, we entered into a Transition Agreement with Mr. Zwillinger. Pursuant to the Transition Agreement, Mr. Zwillinger served as a non-employee advisor to the Company from May 20, 2024 (the “Transition Date”) through December 31, 2024. Mr. Zwillinger received cash payments in the gross amount of $187,500, less applicable withholdings, which was paid in seven equal monthly installments following the Transition Date. We also paid directly to the carrier the full amount of COBRA premiums for continued group health plan coverage for Mr. Zwillinger and his spouse and/or dependents through December 31, 2024. The equity awards held by Mr. Zwillinger immediately prior to the Transition Date that are subject to time-based vesting will continue to vest pursuant to their original award agreements so long as Mr. Zwillinger remains a “service provider” (as defined in the Company’s 2021 Equity Incentive Plan) to the Company as a member of the Board through the applicable vesting date. However, any equity awards held by Mr. Zwillinger immediately prior to the Transition Date that are subject (in whole or in part) to performance-based vesting will vest only if and to the extent the performance goals specified in the applicable award agreement are achieved prior to the date on which Mr. Zwillinger ceases to be a “service provider” (as defined in the Company’s 2021 Equity Incentive Plan) to the Company as a member of the Board, in addition to any time-based requirements. Mr. Zwillinger resigned from his role as a member of the Board effective May 18, 2026.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of an Immediate Family Member </w:t>
      </w:r>
    </w:p>
    <w:p>
      <w:pPr>
        <w:pStyle w:val="TextBody"/>
        <w:bidi w:val="0"/>
        <w:spacing w:before="120" w:after="0"/>
        <w:jc w:val="left"/>
        <w:rPr>
          <w:rFonts w:ascii="Times New Roman" w:hAnsi="Times New Roman"/>
          <w:sz w:val="20"/>
        </w:rPr>
      </w:pPr>
      <w:r>
        <w:rPr>
          <w:rFonts w:ascii="Times New Roman" w:hAnsi="Times New Roman"/>
          <w:sz w:val="20"/>
        </w:rPr>
        <w:t xml:space="preserve">The son of Dick Boyce, a member of our Board of Directors, was previously employed by us from January 2018 to April 2026. He does not share a household with Mr. Boyce and is not one of our executive officers. In 2024 and 2025, his salary was between $200,000 and $250,000 and he earned bonuses between $20,000 and $30,000. He participated in compensation and incentive plans or arrangements on the same basis as similarly situated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an amended and restated investors’ rights agreement with certain holders of our Class A common stock and Class B common stock, including (1) entities affiliated with Mr. Zwillinger, our co-founder and former member of our Board of Directors, and Mr. Brown, our co-founder and member of our Board of Directors and (2) entities affiliated with Maveron, a holder of greater than 5% of our Class B common stock and affiliate of Mr. Levitan, a member of our Board of Directors, that provided or provides such holders with certain registration rights, including the right to demand that we file a registration statement or request that their shares be covered by a registration statement that we are otherwise filing subject to certain limitations. This agreement terminated upon the completion of our IPO, except with respect to registration rights. Each holder’s registration rights terminate upon the earliest to occur of (a) a deemed liquidation event as defined in our certificate of incorporation, (b) such time as Rule 144 or another similar exemption under the Securities Act is available for the sale of all of such holder’s shares without limitation during a three month period without registration (assuming the Company is in compliance with the current public information required under Rule 144(c)(1)), and (c) the fifth anniversary of the IPO.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8" w:name="toc174786_39"/>
      <w:bookmarkEnd w:id="38"/>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limiting the liability of directors, and our 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 </w:t>
      </w:r>
    </w:p>
    <w:p>
      <w:pPr>
        <w:pStyle w:val="TextBody"/>
        <w:bidi w:val="0"/>
        <w:spacing w:before="480" w:after="0"/>
        <w:jc w:val="center"/>
        <w:rPr>
          <w:rFonts w:ascii="Times New Roman" w:hAnsi="Times New Roman"/>
          <w:b/>
          <w:sz w:val="20"/>
        </w:rPr>
      </w:pPr>
      <w:bookmarkStart w:id="39" w:name="toc174786_40"/>
      <w:bookmarkEnd w:id="39"/>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stockholders of the Company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Notice of Internet Availability of Proxy Materials, please notify your broker or the Company. Direct your written request to Secretary, 425 Page Mill Road, Suite 200, Palo Alto, CA 94306.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480" w:after="0"/>
        <w:jc w:val="center"/>
        <w:rPr>
          <w:rFonts w:ascii="Times New Roman" w:hAnsi="Times New Roman"/>
          <w:b/>
          <w:sz w:val="20"/>
        </w:rPr>
      </w:pPr>
      <w:bookmarkStart w:id="40" w:name="toc174786_41"/>
      <w:bookmarkEnd w:id="40"/>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0" w:after="0"/>
        <w:jc w:val="left"/>
        <w:rPr/>
      </w:pPr>
      <w:r>
        <w:rPr/>
        <w:t> </w:t>
      </w:r>
    </w:p>
    <w:tbl>
      <w:tblPr>
        <w:tblW w:w="4738" w:type="dxa"/>
        <w:jc w:val="left"/>
        <w:tblInd w:w="0" w:type="dxa"/>
        <w:tblLayout w:type="fixed"/>
        <w:tblCellMar>
          <w:top w:w="0" w:type="dxa"/>
          <w:left w:w="0" w:type="dxa"/>
          <w:bottom w:w="0" w:type="dxa"/>
          <w:right w:w="0" w:type="dxa"/>
        </w:tblCellMar>
      </w:tblPr>
      <w:tblGrid>
        <w:gridCol w:w="38"/>
        <w:gridCol w:w="6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4738" w:type="dxa"/>
            <w:gridSpan w:val="3"/>
            <w:tcBorders/>
            <w:vAlign w:val="center"/>
          </w:tcPr>
          <w:p>
            <w:pPr>
              <w:pStyle w:val="TableContents"/>
              <w:bidi w:val="0"/>
              <w:spacing w:before="0" w:after="283"/>
              <w:jc w:val="left"/>
              <w:rPr/>
            </w:pPr>
            <w:r>
              <w:rPr/>
              <w:t>By Order of the Board of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u w:val="single"/>
              </w:rPr>
            </w:pPr>
            <w:r>
              <w:rPr>
                <w:u w:val="single"/>
              </w:rPr>
              <w:t>/s/ Nadia Carlsten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Nadia Carlsten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President, Chief Executive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b/>
          <w:sz w:val="20"/>
        </w:rPr>
        <w:t xml:space="preserve">We have filed our Annual Report on Form 10-K for the fiscal year ended December 31, 2025 with the SEC. It is available free of charge at the SEC’s web site at www.sec.gov. Stockholders can also access this Proxy Statement and our Annual Report on Form 10-K at </w:t>
      </w:r>
      <w:r>
        <w:rPr>
          <w:rFonts w:ascii="Times New Roman" w:hAnsi="Times New Roman"/>
          <w:b/>
          <w:i/>
          <w:sz w:val="20"/>
        </w:rPr>
        <w:t>ir.smartbird.ai</w:t>
      </w:r>
      <w:r>
        <w:rPr>
          <w:rFonts w:ascii="Times New Roman" w:hAnsi="Times New Roman"/>
          <w:b/>
          <w:sz w:val="20"/>
        </w:rPr>
        <w:t xml:space="preserve">. A copy of the Company’s Annual Report on Form 10-K for the fiscal year ended December 31, 2025 is available without charge upon written request to: Secretary, Smartbird, Inc., 425 Page Mill Road, Suite 200, Palo Alto, CA 94306.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1075055"/>
                <wp:effectExtent l="0" t="0" r="0" b="0"/>
                <wp:wrapSquare wrapText="right"/>
                <wp:docPr id="3" name="Frame1"/>
                <a:graphic xmlns:a="http://schemas.openxmlformats.org/drawingml/2006/main">
                  <a:graphicData uri="http://schemas.microsoft.com/office/word/2010/wordprocessingShape">
                    <wps:wsp>
                      <wps:cNvSpPr txBox="1"/>
                      <wps:spPr>
                        <a:xfrm>
                          <a:off x="0" y="0"/>
                          <a:ext cx="3110230" cy="107505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381250" cy="8667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2381250" cy="8667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4.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381250" cy="8667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5"/>
                                    <a:stretch>
                                      <a:fillRect/>
                                    </a:stretch>
                                  </pic:blipFill>
                                  <pic:spPr bwMode="auto">
                                    <a:xfrm>
                                      <a:off x="0" y="0"/>
                                      <a:ext cx="2381250" cy="8667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644525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6445250"/>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257425" cy="5619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6"/>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INTERNET</w:t>
                                  </w:r>
                                </w:p>
                              </w:tc>
                            </w:tr>
                            <w:tr>
                              <w:trPr/>
                              <w:tc>
                                <w:tcPr>
                                  <w:tcW w:w="10205" w:type="dxa"/>
                                  <w:tcBorders/>
                                  <w:vAlign w:val="center"/>
                                </w:tcPr>
                                <w:p>
                                  <w:pPr>
                                    <w:pStyle w:val="TableContents"/>
                                    <w:bidi w:val="0"/>
                                    <w:spacing w:before="0" w:after="283"/>
                                    <w:jc w:val="left"/>
                                    <w:rPr/>
                                  </w:pPr>
                                  <w:r>
                                    <w:rPr>
                                      <w:i/>
                                    </w:rPr>
                                    <w:t xml:space="preserve">Before the Meeting - Go to </w:t>
                                  </w:r>
                                  <w:r>
                                    <w:rPr>
                                      <w:b/>
                                      <w:u w:val="single"/>
                                    </w:rPr>
                                    <w:t>www.proxyvote.com</w:t>
                                  </w:r>
                                  <w:r>
                                    <w:rPr>
                                      <w:b/>
                                    </w:rPr>
                                    <w:t xml:space="preserve"> or scan the QR Barcode above</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t>Use the Internet to transmit your voting instructions and for electronic delivery of information. Vote by 11:59 p.m. Eastern Time on September 29, 2026. Have your proxy card in hand when you access the website and follow the instructions to obtain your records and to create an electronic voting instruction form.</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i/>
                                    </w:rPr>
                                    <w:t xml:space="preserve">During The Meeting </w:t>
                                  </w:r>
                                  <w:r>
                                    <w:rPr/>
                                    <w:t>- Go to</w:t>
                                  </w:r>
                                  <w:r>
                                    <w:rPr>
                                      <w:u w:val="single"/>
                                    </w:rPr>
                                    <w:t xml:space="preserve"> </w:t>
                                  </w:r>
                                  <w:r>
                                    <w:rPr>
                                      <w:b/>
                                      <w:u w:val="single"/>
                                    </w:rPr>
                                    <w:t>www.virtualshareholdermeeting.com/BIRD2026</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t>You may attend the meeting via the Internet and vote during the meeting. Have the information that is printed in the box marked by the arrow available and follow the instructions.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PHONE - 1-800-690-6903</w:t>
                                  </w:r>
                                </w:p>
                              </w:tc>
                            </w:tr>
                            <w:tr>
                              <w:trPr/>
                              <w:tc>
                                <w:tcPr>
                                  <w:tcW w:w="10205" w:type="dxa"/>
                                  <w:tcBorders/>
                                  <w:vAlign w:val="center"/>
                                </w:tcPr>
                                <w:p>
                                  <w:pPr>
                                    <w:pStyle w:val="TableContents"/>
                                    <w:bidi w:val="0"/>
                                    <w:spacing w:before="0" w:after="283"/>
                                    <w:jc w:val="left"/>
                                    <w:rPr/>
                                  </w:pPr>
                                  <w:r>
                                    <w:rPr/>
                                    <w:t>Use any touch-tone telephone to transmit your voting instructions. Vote by 11:59 p.m. Eastern Time on September 29, 2026. Have your proxy card in hand when you call and then follow the instructions.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MAIL</w:t>
                                  </w:r>
                                </w:p>
                              </w:tc>
                            </w:tr>
                            <w:tr>
                              <w:trPr/>
                              <w:tc>
                                <w:tcPr>
                                  <w:tcW w:w="10205" w:type="dxa"/>
                                  <w:tcBorders/>
                                  <w:vAlign w:val="center"/>
                                </w:tcPr>
                                <w:p>
                                  <w:pPr>
                                    <w:pStyle w:val="TableContents"/>
                                    <w:bidi w:val="0"/>
                                    <w:spacing w:before="0" w:after="283"/>
                                    <w:jc w:val="left"/>
                                    <w:rPr/>
                                  </w:pPr>
                                  <w:r>
                                    <w:rPr/>
                                    <w:t>Mark, sign and date your proxy card and return it in the postage-paid envelope we have provided or return it to Vote Processing, c/o Broadridge, 51 Mercedes Way, Edgewood, NY 11717.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0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257425" cy="5619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7"/>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INTERNET</w:t>
                            </w:r>
                          </w:p>
                        </w:tc>
                      </w:tr>
                      <w:tr>
                        <w:trPr/>
                        <w:tc>
                          <w:tcPr>
                            <w:tcW w:w="10205" w:type="dxa"/>
                            <w:tcBorders/>
                            <w:vAlign w:val="center"/>
                          </w:tcPr>
                          <w:p>
                            <w:pPr>
                              <w:pStyle w:val="TableContents"/>
                              <w:bidi w:val="0"/>
                              <w:spacing w:before="0" w:after="283"/>
                              <w:jc w:val="left"/>
                              <w:rPr/>
                            </w:pPr>
                            <w:r>
                              <w:rPr>
                                <w:i/>
                              </w:rPr>
                              <w:t xml:space="preserve">Before the Meeting - Go to </w:t>
                            </w:r>
                            <w:r>
                              <w:rPr>
                                <w:b/>
                                <w:u w:val="single"/>
                              </w:rPr>
                              <w:t>www.proxyvote.com</w:t>
                            </w:r>
                            <w:r>
                              <w:rPr>
                                <w:b/>
                              </w:rPr>
                              <w:t xml:space="preserve"> or scan the QR Barcode above</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t>Use the Internet to transmit your voting instructions and for electronic delivery of information. Vote by 11:59 p.m. Eastern Time on September 29, 2026. Have your proxy card in hand when you access the website and follow the instructions to obtain your records and to create an electronic voting instruction form.</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i/>
                              </w:rPr>
                              <w:t xml:space="preserve">During The Meeting </w:t>
                            </w:r>
                            <w:r>
                              <w:rPr/>
                              <w:t>- Go to</w:t>
                            </w:r>
                            <w:r>
                              <w:rPr>
                                <w:u w:val="single"/>
                              </w:rPr>
                              <w:t xml:space="preserve"> </w:t>
                            </w:r>
                            <w:r>
                              <w:rPr>
                                <w:b/>
                                <w:u w:val="single"/>
                              </w:rPr>
                              <w:t>www.virtualshareholdermeeting.com/BIRD2026</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pPr>
                            <w:r>
                              <w:rPr/>
                              <w:t>You may attend the meeting via the Internet and vote during the meeting. Have the information that is printed in the box marked by the arrow available and follow the instructions.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PHONE - 1-800-690-6903</w:t>
                            </w:r>
                          </w:p>
                        </w:tc>
                      </w:tr>
                      <w:tr>
                        <w:trPr/>
                        <w:tc>
                          <w:tcPr>
                            <w:tcW w:w="10205" w:type="dxa"/>
                            <w:tcBorders/>
                            <w:vAlign w:val="center"/>
                          </w:tcPr>
                          <w:p>
                            <w:pPr>
                              <w:pStyle w:val="TableContents"/>
                              <w:bidi w:val="0"/>
                              <w:spacing w:before="0" w:after="283"/>
                              <w:jc w:val="left"/>
                              <w:rPr/>
                            </w:pPr>
                            <w:r>
                              <w:rPr/>
                              <w:t>Use any touch-tone telephone to transmit your voting instructions. Vote by 11:59 p.m. Eastern Time on September 29, 2026. Have your proxy card in hand when you call and then follow the instructions.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rPr>
                            </w:pPr>
                            <w:r>
                              <w:rPr>
                                <w:b/>
                              </w:rPr>
                              <w:t>VOTE BY MAIL</w:t>
                            </w:r>
                          </w:p>
                        </w:tc>
                      </w:tr>
                      <w:tr>
                        <w:trPr/>
                        <w:tc>
                          <w:tcPr>
                            <w:tcW w:w="10205" w:type="dxa"/>
                            <w:tcBorders/>
                            <w:vAlign w:val="center"/>
                          </w:tcPr>
                          <w:p>
                            <w:pPr>
                              <w:pStyle w:val="TableContents"/>
                              <w:bidi w:val="0"/>
                              <w:spacing w:before="0" w:after="283"/>
                              <w:jc w:val="left"/>
                              <w:rPr/>
                            </w:pPr>
                            <w:r>
                              <w:rPr/>
                              <w:t>Mark, sign and date your proxy card and return it in the postage-paid envelope we have provided or return it to Vote Processing, c/o Broadridge, 51 Mercedes Way, Edgewood, NY 11717.</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2400" w:after="0"/>
        <w:jc w:val="left"/>
        <w:rPr>
          <w:rFonts w:ascii="Times New Roman" w:hAnsi="Times New Roman"/>
          <w:sz w:val="20"/>
        </w:rPr>
      </w:pPr>
      <w:r>
        <w:rPr>
          <w:rFonts w:ascii="Times New Roman" w:hAnsi="Times New Roman"/>
          <w:sz w:val="20"/>
        </w:rPr>
        <w:t xml:space="preserve">TO VOTE, MARK BLOCKS BELOW IN BLUE OR BLACK INK AS FOLLOWS: </w:t>
      </w:r>
    </w:p>
    <w:p>
      <w:pPr>
        <w:pStyle w:val="TextBody"/>
        <w:bidi w:val="0"/>
        <w:spacing w:before="240" w:after="0"/>
        <w:jc w:val="right"/>
        <w:rPr>
          <w:rFonts w:ascii="Times New Roman" w:hAnsi="Times New Roman"/>
          <w:sz w:val="20"/>
        </w:rPr>
      </w:pPr>
      <w:r>
        <w:rPr>
          <w:rFonts w:ascii="Times New Roman" w:hAnsi="Times New Roman"/>
          <w:sz w:val="20"/>
        </w:rPr>
        <w:t xml:space="preserve">T02949-P56789     KEEP THIS PORTION FOR YOUR RECORDS </w:t>
      </w:r>
    </w:p>
    <w:p>
      <w:pPr>
        <w:pStyle w:val="TextBody"/>
        <w:bidi w:val="0"/>
        <w:spacing w:before="0" w:after="0"/>
        <w:jc w:val="left"/>
        <w:rPr/>
      </w:pPr>
      <w:r>
        <w:rPr/>
        <w:t xml:space="preserve">— — — — — — — — — — — — — — — — — — — — — — — — — — — — — — — — — — — — — — — — — — — — — — — — — — — — — — — — — — — —  </w:t>
      </w:r>
    </w:p>
    <w:p>
      <w:pPr>
        <w:pStyle w:val="TextBody"/>
        <w:bidi w:val="0"/>
        <w:spacing w:before="0" w:after="0"/>
        <w:jc w:val="right"/>
        <w:rPr>
          <w:rFonts w:ascii="Times New Roman" w:hAnsi="Times New Roman"/>
          <w:sz w:val="20"/>
        </w:rPr>
      </w:pPr>
      <w:r>
        <w:rPr>
          <w:rFonts w:ascii="Times New Roman" w:hAnsi="Times New Roman"/>
          <w:sz w:val="20"/>
        </w:rPr>
        <w:t xml:space="preserve">DETACH AND RETURN THIS PORTION ONLY </w:t>
      </w:r>
    </w:p>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6"/>
        <w:gridCol w:w="152"/>
        <w:gridCol w:w="57"/>
        <w:gridCol w:w="82"/>
        <w:gridCol w:w="319"/>
        <w:gridCol w:w="82"/>
        <w:gridCol w:w="819"/>
        <w:gridCol w:w="82"/>
        <w:gridCol w:w="610"/>
        <w:gridCol w:w="74"/>
        <w:gridCol w:w="505"/>
        <w:gridCol w:w="265"/>
        <w:gridCol w:w="1776"/>
        <w:gridCol w:w="60"/>
        <w:gridCol w:w="800"/>
        <w:gridCol w:w="60"/>
        <w:gridCol w:w="836"/>
      </w:tblGrid>
      <w:tr>
        <w:trPr/>
        <w:tc>
          <w:tcPr>
            <w:tcW w:w="36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vAlign w:val="center"/>
          </w:tcPr>
          <w:p>
            <w:pPr>
              <w:pStyle w:val="TableContents"/>
              <w:bidi w:val="0"/>
              <w:spacing w:before="0" w:after="283"/>
              <w:jc w:val="left"/>
              <w:rPr>
                <w:b/>
                <w:sz w:val="14"/>
              </w:rPr>
            </w:pPr>
            <w:r>
              <w:rPr>
                <w:b/>
                <w:sz w:val="14"/>
              </w:rPr>
              <w:t>SMARTBIRD, INC.</w:t>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For</w:t>
            </w:r>
          </w:p>
          <w:p>
            <w:pPr>
              <w:pStyle w:val="TableContents"/>
              <w:bidi w:val="0"/>
              <w:spacing w:before="0" w:after="20"/>
              <w:jc w:val="center"/>
              <w:rPr>
                <w:rFonts w:ascii="Times New Roman" w:hAnsi="Times New Roman"/>
                <w:b/>
                <w:sz w:val="14"/>
              </w:rPr>
            </w:pPr>
            <w:r>
              <w:rPr>
                <w:rFonts w:ascii="Times New Roman" w:hAnsi="Times New Roman"/>
                <w:b/>
                <w:sz w:val="14"/>
              </w:rPr>
              <w:t>All</w:t>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Withhold</w:t>
            </w:r>
          </w:p>
          <w:p>
            <w:pPr>
              <w:pStyle w:val="TableContents"/>
              <w:bidi w:val="0"/>
              <w:spacing w:before="0" w:after="20"/>
              <w:jc w:val="center"/>
              <w:rPr>
                <w:rFonts w:ascii="Times New Roman" w:hAnsi="Times New Roman"/>
                <w:b/>
                <w:sz w:val="14"/>
              </w:rPr>
            </w:pPr>
            <w:r>
              <w:rPr>
                <w:rFonts w:ascii="Times New Roman" w:hAnsi="Times New Roman"/>
                <w:b/>
                <w:sz w:val="14"/>
              </w:rPr>
              <w:t>All</w:t>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For All</w:t>
            </w:r>
          </w:p>
          <w:p>
            <w:pPr>
              <w:pStyle w:val="TableContents"/>
              <w:bidi w:val="0"/>
              <w:spacing w:before="0" w:after="20"/>
              <w:jc w:val="center"/>
              <w:rPr>
                <w:rFonts w:ascii="Times New Roman" w:hAnsi="Times New Roman"/>
                <w:b/>
                <w:sz w:val="14"/>
              </w:rPr>
            </w:pPr>
            <w:r>
              <w:rPr>
                <w:rFonts w:ascii="Times New Roman" w:hAnsi="Times New Roman"/>
                <w:b/>
                <w:sz w:val="14"/>
              </w:rPr>
              <w:t>Except</w:t>
            </w:r>
          </w:p>
        </w:tc>
        <w:tc>
          <w:tcPr>
            <w:tcW w:w="74" w:type="dxa"/>
            <w:tcBorders/>
            <w:vAlign w:val="center"/>
          </w:tcPr>
          <w:p>
            <w:pPr>
              <w:pStyle w:val="TableContents"/>
              <w:bidi w:val="0"/>
              <w:spacing w:before="0" w:after="283"/>
              <w:jc w:val="left"/>
              <w:rPr/>
            </w:pPr>
            <w:r>
              <w:rPr/>
              <w:t> </w:t>
            </w:r>
          </w:p>
        </w:tc>
        <w:tc>
          <w:tcPr>
            <w:tcW w:w="2546" w:type="dxa"/>
            <w:gridSpan w:val="3"/>
            <w:tcBorders/>
            <w:vAlign w:val="center"/>
          </w:tcPr>
          <w:p>
            <w:pPr>
              <w:pStyle w:val="TableContents"/>
              <w:bidi w:val="0"/>
              <w:spacing w:before="0" w:after="283"/>
              <w:jc w:val="left"/>
              <w:rPr>
                <w:sz w:val="14"/>
              </w:rPr>
            </w:pPr>
            <w:r>
              <w:rPr>
                <w:sz w:val="14"/>
              </w:rPr>
              <w:t>To withhold authority to vote for any individual nominee(s), mark “For All Except” and write the number(s) of the nominee(s) on the line below.</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vAlign w:val="center"/>
          </w:tcPr>
          <w:p>
            <w:pPr>
              <w:pStyle w:val="TableContents"/>
              <w:bidi w:val="0"/>
              <w:spacing w:before="0" w:after="0"/>
              <w:jc w:val="left"/>
              <w:rPr/>
            </w:pPr>
            <w:r>
              <w:rPr/>
              <w:t>   </w:t>
            </w:r>
            <w:r>
              <w:rPr>
                <w:rFonts w:ascii="Times New Roman" w:hAnsi="Times New Roman"/>
                <w:b/>
                <w:sz w:val="14"/>
              </w:rPr>
              <w:t>The Board of Directors recommends you vote FOR</w:t>
            </w:r>
            <w:r>
              <w:rPr>
                <w:rFonts w:ascii="Times New Roman" w:hAnsi="Times New Roman"/>
                <w:sz w:val="14"/>
              </w:rPr>
              <w:t xml:space="preserve"> </w:t>
            </w:r>
            <w:r>
              <w:rPr>
                <w:rFonts w:ascii="Times New Roman" w:hAnsi="Times New Roman"/>
                <w:b/>
                <w:sz w:val="14"/>
              </w:rPr>
              <w:t>the following nominees:</w:t>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pPr>
            <w:r>
              <w:rPr/>
              <w:t>☐</w:t>
            </w:r>
          </w:p>
        </w:tc>
        <w:tc>
          <w:tcPr>
            <w:tcW w:w="74" w:type="dxa"/>
            <w:tcBorders>
              <w:bottom w:val="single" w:sz="16" w:space="0" w:color="000000"/>
            </w:tcBorders>
            <w:tcMar>
              <w:bottom w:w="28" w:type="dxa"/>
            </w:tcMar>
            <w:vAlign w:val="center"/>
          </w:tcPr>
          <w:p>
            <w:pPr>
              <w:pStyle w:val="TableContents"/>
              <w:bidi w:val="0"/>
              <w:spacing w:before="0" w:after="283"/>
              <w:jc w:val="left"/>
              <w:rPr/>
            </w:pPr>
            <w:r>
              <w:rPr/>
              <w:t> </w:t>
            </w:r>
          </w:p>
        </w:tc>
        <w:tc>
          <w:tcPr>
            <w:tcW w:w="505" w:type="dxa"/>
            <w:tcBorders>
              <w:bottom w:val="single" w:sz="16" w:space="0" w:color="000000"/>
            </w:tcBorders>
            <w:tcMar>
              <w:bottom w:w="28" w:type="dxa"/>
            </w:tcMar>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836"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35" w:type="dxa"/>
            <w:gridSpan w:val="3"/>
            <w:tcBorders/>
            <w:vAlign w:val="center"/>
          </w:tcPr>
          <w:p>
            <w:pPr>
              <w:pStyle w:val="TableContents"/>
              <w:bidi w:val="0"/>
              <w:spacing w:before="0" w:after="0"/>
              <w:jc w:val="left"/>
              <w:rPr>
                <w:rFonts w:ascii="Times New Roman" w:hAnsi="Times New Roman"/>
                <w:sz w:val="14"/>
              </w:rPr>
            </w:pPr>
            <w:r>
              <w:rPr>
                <w:rFonts w:ascii="Times New Roman" w:hAnsi="Times New Roman"/>
                <w:sz w:val="14"/>
              </w:rPr>
              <w:t>1.  ELECTION OF CLASS II DIRECTORS</w:t>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0"/>
              <w:jc w:val="left"/>
              <w:rPr/>
            </w:pPr>
            <w:r>
              <w:rPr/>
              <w:t>    </w:t>
            </w:r>
            <w:r>
              <w:rPr>
                <w:rFonts w:ascii="Times New Roman" w:hAnsi="Times New Roman"/>
                <w:b/>
                <w:sz w:val="14"/>
              </w:rPr>
              <w:t>Nominees:</w:t>
            </w:r>
          </w:p>
        </w:tc>
        <w:tc>
          <w:tcPr>
            <w:tcW w:w="152" w:type="dxa"/>
            <w:tcBorders/>
            <w:vAlign w:val="center"/>
          </w:tcPr>
          <w:p>
            <w:pPr>
              <w:pStyle w:val="TableContents"/>
              <w:bidi w:val="0"/>
              <w:spacing w:before="0" w:after="283"/>
              <w:jc w:val="left"/>
              <w:rPr/>
            </w:pPr>
            <w:r>
              <w:rPr/>
              <w:t> </w:t>
            </w:r>
          </w:p>
        </w:tc>
        <w:tc>
          <w:tcPr>
            <w:tcW w:w="5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vAlign w:val="center"/>
          </w:tcPr>
          <w:p>
            <w:pPr>
              <w:pStyle w:val="TableContents"/>
              <w:bidi w:val="0"/>
              <w:spacing w:before="0" w:after="0"/>
              <w:jc w:val="left"/>
              <w:rPr>
                <w:rFonts w:ascii="Times New Roman" w:hAnsi="Times New Roman"/>
                <w:sz w:val="14"/>
              </w:rPr>
            </w:pPr>
            <w:r>
              <w:rPr>
                <w:rFonts w:ascii="Times New Roman" w:hAnsi="Times New Roman"/>
                <w:sz w:val="14"/>
              </w:rPr>
              <w:t>01)  Daniel Kasun     02)  Elizabeth Mora</w:t>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sz w:val="4"/>
                <w:szCs w:val="4"/>
              </w:rPr>
            </w:pPr>
            <w:r>
              <w:rPr>
                <w:sz w:val="4"/>
                <w:szCs w:val="4"/>
              </w:rPr>
            </w:r>
          </w:p>
        </w:tc>
      </w:tr>
      <w:tr>
        <w:trPr/>
        <w:tc>
          <w:tcPr>
            <w:tcW w:w="5829" w:type="dxa"/>
            <w:gridSpan w:val="9"/>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5829" w:type="dxa"/>
            <w:gridSpan w:val="9"/>
            <w:tcBorders/>
            <w:vAlign w:val="center"/>
          </w:tcPr>
          <w:p>
            <w:pPr>
              <w:pStyle w:val="TableContents"/>
              <w:bidi w:val="0"/>
              <w:spacing w:before="0" w:after="283"/>
              <w:jc w:val="left"/>
              <w:rPr/>
            </w:pPr>
            <w:r>
              <w:rPr/>
              <w:t>   </w:t>
            </w:r>
            <w:r>
              <w:rPr>
                <w:b/>
              </w:rPr>
              <w:t>The Board of Directors recommends you vote FOR the following proposals:</w:t>
            </w:r>
          </w:p>
        </w:tc>
        <w:tc>
          <w:tcPr>
            <w:tcW w:w="74"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center"/>
              <w:rPr>
                <w:b/>
              </w:rPr>
            </w:pPr>
            <w:r>
              <w:rPr>
                <w:b/>
              </w:rPr>
              <w:t>Abstain</w:t>
            </w:r>
          </w:p>
        </w:tc>
      </w:tr>
      <w:tr>
        <w:trPr/>
        <w:tc>
          <w:tcPr>
            <w:tcW w:w="6408" w:type="dxa"/>
            <w:gridSpan w:val="11"/>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6408" w:type="dxa"/>
            <w:gridSpan w:val="11"/>
            <w:tcBorders/>
            <w:vAlign w:val="center"/>
          </w:tcPr>
          <w:p>
            <w:pPr>
              <w:pStyle w:val="TableContents"/>
              <w:bidi w:val="0"/>
              <w:spacing w:before="0" w:after="0"/>
              <w:jc w:val="left"/>
              <w:rPr>
                <w:rFonts w:ascii="Times New Roman" w:hAnsi="Times New Roman"/>
                <w:sz w:val="14"/>
              </w:rPr>
            </w:pPr>
            <w:r>
              <w:rPr>
                <w:rFonts w:ascii="Times New Roman" w:hAnsi="Times New Roman"/>
                <w:sz w:val="14"/>
              </w:rPr>
              <w:t>2.  APPROVAL OF AN AMENDMENT TO THE COMPANY’S 2021 EQUITY INCENTIVE PLAN TO INCREASE THE NUMBER OF SHARES AUTHORIZED FOR ISSUANCE UNDER THE PLAN</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center"/>
              <w:rPr/>
            </w:pPr>
            <w:r>
              <w:rPr/>
              <w:t>☐</w:t>
            </w:r>
          </w:p>
        </w:tc>
      </w:tr>
      <w:tr>
        <w:trPr/>
        <w:tc>
          <w:tcPr>
            <w:tcW w:w="6408" w:type="dxa"/>
            <w:gridSpan w:val="11"/>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6408" w:type="dxa"/>
            <w:gridSpan w:val="11"/>
            <w:tcBorders/>
            <w:vAlign w:val="center"/>
          </w:tcPr>
          <w:p>
            <w:pPr>
              <w:pStyle w:val="TableContents"/>
              <w:bidi w:val="0"/>
              <w:spacing w:before="0" w:after="0"/>
              <w:jc w:val="left"/>
              <w:rPr>
                <w:rFonts w:ascii="Times New Roman" w:hAnsi="Times New Roman"/>
                <w:sz w:val="14"/>
              </w:rPr>
            </w:pPr>
            <w:r>
              <w:rPr>
                <w:rFonts w:ascii="Times New Roman" w:hAnsi="Times New Roman"/>
                <w:sz w:val="14"/>
              </w:rPr>
              <w:t>3.  APPROVAL, FOR PURPOSES OF COMPLYING WITH NASDAQ LISTING RULE 5635(D), OF THE ISSUANCE OF SHARES OF OUR CLASS A COMMON STOCK REPRESENTING MORE THAN 19.99% UPON THE CONVERSION OF CERTAIN CONVERTIBLE NOTES</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center"/>
              <w:rPr/>
            </w:pPr>
            <w:r>
              <w:rPr/>
              <w:t>☐</w:t>
            </w:r>
          </w:p>
        </w:tc>
      </w:tr>
      <w:tr>
        <w:trPr/>
        <w:tc>
          <w:tcPr>
            <w:tcW w:w="6408" w:type="dxa"/>
            <w:gridSpan w:val="11"/>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6408" w:type="dxa"/>
            <w:gridSpan w:val="11"/>
            <w:tcBorders/>
            <w:vAlign w:val="center"/>
          </w:tcPr>
          <w:p>
            <w:pPr>
              <w:pStyle w:val="TableContents"/>
              <w:bidi w:val="0"/>
              <w:spacing w:before="0" w:after="0"/>
              <w:jc w:val="left"/>
              <w:rPr>
                <w:rFonts w:ascii="Times New Roman" w:hAnsi="Times New Roman"/>
                <w:sz w:val="14"/>
              </w:rPr>
            </w:pPr>
            <w:r>
              <w:rPr>
                <w:rFonts w:ascii="Times New Roman" w:hAnsi="Times New Roman"/>
                <w:sz w:val="14"/>
              </w:rPr>
              <w:t>4.  RATIFICATION OF SELECTION OF INDEPENDENT REGISTERED PUBLIC ACCOUNTING FIRM</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center"/>
              <w:rPr/>
            </w:pPr>
            <w:r>
              <w:rPr/>
              <w:t>☐</w:t>
            </w:r>
          </w:p>
        </w:tc>
      </w:tr>
      <w:tr>
        <w:trPr/>
        <w:tc>
          <w:tcPr>
            <w:tcW w:w="6408" w:type="dxa"/>
            <w:gridSpan w:val="11"/>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6408" w:type="dxa"/>
            <w:gridSpan w:val="11"/>
            <w:tcBorders/>
            <w:vAlign w:val="center"/>
          </w:tcPr>
          <w:p>
            <w:pPr>
              <w:pStyle w:val="TableContents"/>
              <w:bidi w:val="0"/>
              <w:spacing w:before="0" w:after="0"/>
              <w:jc w:val="left"/>
              <w:rPr>
                <w:rFonts w:ascii="Times New Roman" w:hAnsi="Times New Roman"/>
                <w:sz w:val="14"/>
              </w:rPr>
            </w:pPr>
            <w:r>
              <w:rPr>
                <w:rFonts w:ascii="Times New Roman" w:hAnsi="Times New Roman"/>
                <w:sz w:val="14"/>
              </w:rPr>
              <w:t>5.  APPROVAL OF ONE OR MORE ADJOURNMENTS OF THE ANNUAL MEETING FROM TIME TO TIME, IF NECESSARY, TO SOLICIT ADDITIONAL PROXIES IN THE EVENT THAT THERE ARE INSUFFICIENT SHARES PRESENT VIRTUALLY OR REPRESENTED BY PROXY VOTING IN FAVOR OF THE PROPOSALS PRESENTED AT THE MEETING</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center"/>
              <w:rPr/>
            </w:pPr>
            <w:r>
              <w:rPr/>
              <w:t>☐</w:t>
            </w:r>
          </w:p>
        </w:tc>
      </w:tr>
      <w:tr>
        <w:trPr/>
        <w:tc>
          <w:tcPr>
            <w:tcW w:w="6408" w:type="dxa"/>
            <w:gridSpan w:val="11"/>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6408" w:type="dxa"/>
            <w:gridSpan w:val="11"/>
            <w:tcBorders/>
            <w:vAlign w:val="center"/>
          </w:tcPr>
          <w:p>
            <w:pPr>
              <w:pStyle w:val="TableContents"/>
              <w:bidi w:val="0"/>
              <w:spacing w:before="0" w:after="283"/>
              <w:jc w:val="left"/>
              <w:rPr/>
            </w:pPr>
            <w:r>
              <w:rPr>
                <w:b/>
              </w:rPr>
              <w:t xml:space="preserve">NOTE: </w:t>
            </w:r>
            <w:r>
              <w:rPr/>
              <w:t>In their discretion, the proxies are authorized to vote upon such other business as may properly come before the meeting or any adjournment, continuation, or postponement thereof.</w:t>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vAlign w:val="center"/>
          </w:tcPr>
          <w:p>
            <w:pPr>
              <w:pStyle w:val="TableContents"/>
              <w:bidi w:val="0"/>
              <w:spacing w:before="0" w:after="283"/>
              <w:jc w:val="left"/>
              <w:rPr>
                <w:sz w:val="4"/>
                <w:szCs w:val="4"/>
              </w:rPr>
            </w:pPr>
            <w:r>
              <w:rPr>
                <w:sz w:val="4"/>
                <w:szCs w:val="4"/>
              </w:rPr>
            </w:r>
          </w:p>
        </w:tc>
        <w:tc>
          <w:tcPr>
            <w:tcW w:w="401"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6" w:type="dxa"/>
            <w:gridSpan w:val="2"/>
            <w:tcBorders/>
            <w:vAlign w:val="center"/>
          </w:tcPr>
          <w:p>
            <w:pPr>
              <w:pStyle w:val="TableContents"/>
              <w:bidi w:val="0"/>
              <w:spacing w:before="0" w:after="283"/>
              <w:jc w:val="left"/>
              <w:rPr>
                <w:sz w:val="4"/>
                <w:szCs w:val="4"/>
              </w:rPr>
            </w:pPr>
            <w:r>
              <w:rPr>
                <w:sz w:val="4"/>
                <w:szCs w:val="4"/>
              </w:rPr>
            </w:r>
          </w:p>
        </w:tc>
      </w:tr>
      <w:tr>
        <w:trPr/>
        <w:tc>
          <w:tcPr>
            <w:tcW w:w="3835" w:type="dxa"/>
            <w:gridSpan w:val="3"/>
            <w:tcBorders/>
            <w:vAlign w:val="center"/>
          </w:tcPr>
          <w:p>
            <w:pPr>
              <w:pStyle w:val="TableContents"/>
              <w:bidi w:val="0"/>
              <w:spacing w:before="0" w:after="0"/>
              <w:jc w:val="left"/>
              <w:rPr>
                <w:rFonts w:ascii="Times New Roman" w:hAnsi="Times New Roman"/>
                <w:sz w:val="14"/>
              </w:rPr>
            </w:pPr>
            <w:r>
              <w:rPr>
                <w:rFonts w:ascii="Times New Roman" w:hAnsi="Times New Roman"/>
                <w:sz w:val="14"/>
              </w:rPr>
              <w:t>Please sign exactly as your name(s) appear(s) hereon. When signing as attorney,</w:t>
            </w:r>
          </w:p>
          <w:p>
            <w:pPr>
              <w:pStyle w:val="TableContents"/>
              <w:bidi w:val="0"/>
              <w:spacing w:before="0" w:after="0"/>
              <w:jc w:val="left"/>
              <w:rPr>
                <w:rFonts w:ascii="Times New Roman" w:hAnsi="Times New Roman"/>
                <w:sz w:val="14"/>
              </w:rPr>
            </w:pPr>
            <w:r>
              <w:rPr>
                <w:rFonts w:ascii="Times New Roman" w:hAnsi="Times New Roman"/>
                <w:sz w:val="14"/>
              </w:rPr>
              <w:t>executor, administrator, or other fiduciary, please give full title as such. Joint owners</w:t>
            </w:r>
          </w:p>
          <w:p>
            <w:pPr>
              <w:pStyle w:val="TableContents"/>
              <w:bidi w:val="0"/>
              <w:spacing w:before="0" w:after="0"/>
              <w:jc w:val="left"/>
              <w:rPr>
                <w:rFonts w:ascii="Times New Roman" w:hAnsi="Times New Roman"/>
                <w:sz w:val="14"/>
              </w:rPr>
            </w:pPr>
            <w:r>
              <w:rPr>
                <w:rFonts w:ascii="Times New Roman" w:hAnsi="Times New Roman"/>
                <w:sz w:val="14"/>
              </w:rPr>
              <w:t>should each sign personally. All holders must sign. If a corporation or partnership,</w:t>
            </w:r>
          </w:p>
          <w:p>
            <w:pPr>
              <w:pStyle w:val="TableContents"/>
              <w:bidi w:val="0"/>
              <w:spacing w:before="0" w:after="20"/>
              <w:jc w:val="left"/>
              <w:rPr>
                <w:rFonts w:ascii="Times New Roman" w:hAnsi="Times New Roman"/>
                <w:sz w:val="14"/>
              </w:rPr>
            </w:pPr>
            <w:r>
              <w:rPr>
                <w:rFonts w:ascii="Times New Roman" w:hAnsi="Times New Roman"/>
                <w:sz w:val="14"/>
              </w:rPr>
              <w:t>please sign in full corporate or partnership name by authorized officer.</w:t>
            </w:r>
          </w:p>
        </w:tc>
        <w:tc>
          <w:tcPr>
            <w:tcW w:w="82"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2152"/>
        <w:gridCol w:w="60"/>
        <w:gridCol w:w="919"/>
        <w:gridCol w:w="120"/>
        <w:gridCol w:w="2014"/>
        <w:gridCol w:w="60"/>
        <w:gridCol w:w="1370"/>
        <w:gridCol w:w="60"/>
        <w:gridCol w:w="919"/>
        <w:gridCol w:w="60"/>
        <w:gridCol w:w="2471"/>
      </w:tblGrid>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r>
      <w:tr>
        <w:trPr/>
        <w:tc>
          <w:tcPr>
            <w:tcW w:w="2152" w:type="dxa"/>
            <w:tcBorders>
              <w:top w:val="single" w:sz="12" w:space="0" w:color="000000"/>
              <w:left w:val="single" w:sz="12" w:space="0" w:color="000000"/>
              <w:bottom w:val="single" w:sz="12" w:space="0" w:color="000000"/>
              <w:right w:val="single" w:sz="12" w:space="0" w:color="000000"/>
            </w:tcBorders>
            <w:tcMar>
              <w:top w:w="28" w:type="dxa"/>
              <w:left w:w="160" w:type="dxa"/>
              <w:bottom w:w="28" w:type="dxa"/>
              <w:right w:w="28" w:type="dxa"/>
            </w:tcMar>
            <w:vAlign w:val="center"/>
          </w:tcPr>
          <w:p>
            <w:pPr>
              <w:pStyle w:val="TableContents"/>
              <w:bidi w:val="0"/>
              <w:spacing w:before="0" w:after="0"/>
              <w:jc w:val="center"/>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91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014" w:type="dxa"/>
            <w:tcBorders/>
            <w:vAlign w:val="center"/>
          </w:tcPr>
          <w:p>
            <w:pPr>
              <w:pStyle w:val="TableContents"/>
              <w:bidi w:val="0"/>
              <w:spacing w:before="0" w:after="283"/>
              <w:jc w:val="center"/>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370"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91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center"/>
              <w:rPr/>
            </w:pPr>
            <w:r>
              <w:rPr/>
              <w:t>           </w:t>
            </w:r>
          </w:p>
        </w:tc>
      </w:tr>
      <w:tr>
        <w:trPr/>
        <w:tc>
          <w:tcPr>
            <w:tcW w:w="2152" w:type="dxa"/>
            <w:tcBorders/>
            <w:vAlign w:val="center"/>
          </w:tcPr>
          <w:p>
            <w:pPr>
              <w:pStyle w:val="TableContents"/>
              <w:bidi w:val="0"/>
              <w:spacing w:before="0" w:after="283"/>
              <w:jc w:val="left"/>
              <w:rPr>
                <w:sz w:val="14"/>
              </w:rPr>
            </w:pPr>
            <w:r>
              <w:rPr>
                <w:sz w:val="14"/>
              </w:rPr>
              <w:t>Signature [PLEASE SIGN WITHIN BOX]</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120" w:type="dxa"/>
            <w:tcBorders/>
            <w:vAlign w:val="center"/>
          </w:tcPr>
          <w:p>
            <w:pPr>
              <w:pStyle w:val="TableContents"/>
              <w:bidi w:val="0"/>
              <w:spacing w:before="0" w:after="283"/>
              <w:jc w:val="left"/>
              <w:rPr/>
            </w:pPr>
            <w:r>
              <w:rPr/>
              <w:t>  </w:t>
            </w:r>
          </w:p>
        </w:tc>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Signature (Joint Owners)</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800" w:after="0"/>
        <w:jc w:val="center"/>
        <w:rPr>
          <w:rFonts w:ascii="Times New Roman" w:hAnsi="Times New Roman"/>
          <w:b/>
          <w:sz w:val="20"/>
        </w:rPr>
      </w:pPr>
      <w:r>
        <w:rPr>
          <w:rFonts w:ascii="Times New Roman" w:hAnsi="Times New Roman"/>
          <w:b/>
          <w:sz w:val="20"/>
        </w:rPr>
        <w:t xml:space="preserve">Important Notice Regarding the Availability of Proxy Materials for the 2026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Proxy Statement and Form 10-K are available at www.proxyvote.com. </w:t>
      </w:r>
    </w:p>
    <w:p>
      <w:pPr>
        <w:pStyle w:val="TextBody"/>
        <w:bidi w:val="0"/>
        <w:spacing w:before="0" w:after="0"/>
        <w:jc w:val="left"/>
        <w:rPr/>
      </w:pPr>
      <w:r>
        <w:rPr/>
        <w:t> </w:t>
      </w:r>
    </w:p>
    <w:p>
      <w:pPr>
        <w:pStyle w:val="TextBody"/>
        <w:bidi w:val="0"/>
        <w:spacing w:before="2400" w:after="0"/>
        <w:jc w:val="left"/>
        <w:rPr/>
      </w:pPr>
      <w:r>
        <w:rPr/>
        <w:t xml:space="preserve">— — — — — — — — — — — — — — — — — — — — — — — — — — — — — — — — — — — — — — — — — — — — — — — — — — — — — — — — — — — — </w:t>
      </w:r>
    </w:p>
    <w:p>
      <w:pPr>
        <w:pStyle w:val="TextBody"/>
        <w:bidi w:val="0"/>
        <w:spacing w:before="0" w:after="0"/>
        <w:jc w:val="right"/>
        <w:rPr>
          <w:rFonts w:ascii="Times New Roman" w:hAnsi="Times New Roman"/>
          <w:sz w:val="20"/>
        </w:rPr>
      </w:pPr>
      <w:r>
        <w:rPr>
          <w:rFonts w:ascii="Times New Roman" w:hAnsi="Times New Roman"/>
          <w:sz w:val="20"/>
        </w:rPr>
        <w:t xml:space="preserve">T02950-P56789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SMARTBIRD, INC. </w:t>
      </w:r>
    </w:p>
    <w:p>
      <w:pPr>
        <w:pStyle w:val="TextBody"/>
        <w:bidi w:val="0"/>
        <w:spacing w:before="6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Annual Meeting of Stockholders </w:t>
      </w:r>
    </w:p>
    <w:p>
      <w:pPr>
        <w:pStyle w:val="TextBody"/>
        <w:bidi w:val="0"/>
        <w:spacing w:before="6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September 30, 2026, 12:00 p.m. Pacific Time </w:t>
      </w:r>
    </w:p>
    <w:p>
      <w:pPr>
        <w:pStyle w:val="TextBody"/>
        <w:bidi w:val="0"/>
        <w:spacing w:before="6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by the Board of Directors </w:t>
      </w:r>
    </w:p>
    <w:p>
      <w:pPr>
        <w:pStyle w:val="TextBody"/>
        <w:bidi w:val="0"/>
        <w:spacing w:before="24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stockholder(s) acknowledge(s) receipt of the Notice of the 2026 Annual Meeting of Stockholders of Smartbird, Inc. and the Proxy Statement and hereby appoint(s) Nadia Carlsten and Ann Mitchell, or any of them, as proxies, each with the power to appoint his or her substitute, and hereby authorize(s) them to act as attorneys and proxies to represent and to vote, as designated on the reverse side of this ballot (with discretionary authority under Proposal 1 to vote for a substitute nominee if any nominee is unable to serve or for good cause will not serve), all of the shares of common stock of Smartbird, Inc. that the stockholder(s) is/are entitled to vote at the 2026 Annual Meeting of Stockholders to be held at 12:00 p.m. Pacific Time on September 30, 2026 via a live audio-only webcast at www.virtualshareholdermeeting.com/BIRD2026, and any adjournments, continuations, or postponements thereof.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adjournments, continuations, or postponements thereof. </w:t>
      </w:r>
    </w:p>
    <w:p>
      <w:pPr>
        <w:pStyle w:val="TextBody"/>
        <w:bidi w:val="0"/>
        <w:spacing w:before="0" w:after="0"/>
        <w:jc w:val="left"/>
        <w:rPr>
          <w:bdr w:val="single" w:sz="16" w:space="2" w:color="000000"/>
        </w:rPr>
      </w:pPr>
      <w:r>
        <w:rPr>
          <w:bdr w:val="single" w:sz="16" w:space="2" w:color="000000"/>
        </w:rPr>
        <w:t> </w:t>
      </w:r>
    </w:p>
    <w:p>
      <w:pPr>
        <w:pStyle w:val="TextBody"/>
        <w:bidi w:val="0"/>
        <w:spacing w:before="24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p>
      <w:pPr>
        <w:pStyle w:val="TextBody"/>
        <w:bidi w:val="0"/>
        <w:spacing w:before="0" w:after="0"/>
        <w:jc w:val="left"/>
        <w:rPr>
          <w:bdr w:val="single" w:sz="16" w:space="2" w:color="000000"/>
        </w:rPr>
      </w:pPr>
      <w:r>
        <w:rPr>
          <w:bdr w:val="single" w:sz="16" w:space="2"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35276</Words>
  <Characters>185041</Characters>
  <CharactersWithSpaces>221807</CharactersWithSpaces>
  <Paragraphs>3436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