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Allbirds,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001-40963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47-3999983</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1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530 Washington St.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(628) 225-4848</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BIRD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Purchase Agreement</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previously disclosed, on April 14, 2026, Allbirds, Inc., a Delaware public benefit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an institutional investor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pursuant to which the Company agreed to issue and sell to the Investor senior secured convertible notes in an aggregate original principal amount of up to $50.0 million (the “</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convertible into shares of the Company’s Class A common stock (the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The proceeds of the Facility are anticipated to be used primarily for the purchase of Electronics Assets (as defined herein) by a newly formed wholly owned subsidiary of the Company, NewBird AI, LLC, a Delaware limited liability company (“</w:t>
      </w:r>
      <w:r>
        <w:rPr>
          <w:rFonts w:ascii="Times New Roman" w:cs="Times New Roman" w:eastAsia="Times New Roman" w:hAnsi="Times New Roman"/>
          <w:sz w:val="18"/>
          <w:szCs w:val="18"/>
          <w:u w:val="single" w:color="auto"/>
          <w:color w:val="auto"/>
        </w:rPr>
        <w:t>NewBird Subsidiary</w:t>
      </w:r>
      <w:r>
        <w:rPr>
          <w:rFonts w:ascii="Times New Roman" w:cs="Times New Roman" w:eastAsia="Times New Roman" w:hAnsi="Times New Roman"/>
          <w:sz w:val="18"/>
          <w:szCs w:val="18"/>
          <w:color w:val="auto"/>
        </w:rPr>
        <w:t>”) and the costs and expenses of the private placements. On April 19, 2026, the Purchase Agreement was amended and restated (as so amended and restated, the “</w:t>
      </w:r>
      <w:r>
        <w:rPr>
          <w:rFonts w:ascii="Times New Roman" w:cs="Times New Roman" w:eastAsia="Times New Roman" w:hAnsi="Times New Roman"/>
          <w:sz w:val="18"/>
          <w:szCs w:val="18"/>
          <w:u w:val="single" w:color="auto"/>
          <w:color w:val="auto"/>
        </w:rPr>
        <w:t>A&amp;R Purchase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entry into the A&amp;R Purchase Agreement and related transactions, on April 14, 2026, the Company filed a preliminary proxy statement (“</w:t>
      </w:r>
      <w:r>
        <w:rPr>
          <w:rFonts w:ascii="Times New Roman" w:cs="Times New Roman" w:eastAsia="Times New Roman" w:hAnsi="Times New Roman"/>
          <w:sz w:val="18"/>
          <w:szCs w:val="18"/>
          <w:u w:val="single" w:color="auto"/>
          <w:color w:val="auto"/>
        </w:rPr>
        <w:t>Preliminary Proxy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 a special meeting of stockholders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in which the Company has included a proposal asking stockholders to approve, among other matters, for purposes of complying with Nasdaq Listing Rule 5635(d), the issuance of shares of our Class A common stock representing more than 19.99% upon the conversion of the Convertible Notes (the “</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A&amp;R Purchase Agreement contains customary representations, warranties and covenants. Pursuant to the A&amp;R Purchase Agreement, for the twenty-four months immediately following the date on which the Convertible Notes are first issued, the Investor has the right to co-invest for at least 55% of any of the Company’s future financing deals on the same terms with other investors.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GPU Lease</w:t>
      </w:r>
    </w:p>
    <w:p>
      <w:pPr>
        <w:spacing w:after="0" w:line="207" w:lineRule="exact"/>
        <w:rPr>
          <w:sz w:val="20"/>
          <w:szCs w:val="20"/>
          <w:color w:val="auto"/>
        </w:rPr>
      </w:pPr>
    </w:p>
    <w:p>
      <w:pPr>
        <w:ind w:right="1980"/>
        <w:spacing w:after="0" w:line="269" w:lineRule="auto"/>
        <w:rPr>
          <w:sz w:val="20"/>
          <w:szCs w:val="20"/>
          <w:color w:val="auto"/>
        </w:rPr>
      </w:pPr>
      <w:r>
        <w:rPr>
          <w:rFonts w:ascii="Times New Roman" w:cs="Times New Roman" w:eastAsia="Times New Roman" w:hAnsi="Times New Roman"/>
          <w:sz w:val="17"/>
          <w:szCs w:val="17"/>
          <w:color w:val="auto"/>
        </w:rPr>
        <w:t>Using proceeds from the initial tranche of the Convertible Notes, the Company, through its wholly owned subsidiary (the “Lessor”), escrowed funds for Lessor’s initial purchase of server equipment utilizing current-generation NVIDIA Blackwell GPUs (the “Purchased GPU Assets”). The escrowed funds are subject to release upon delivery of final invoices, which is expected within 14 days. Simultaneously, the Lessor entered into an approximately $2.75 million, three-year lease agreement with a subsidiary of QumulusAI, Inc. (the “Lessee”) for the Purchased GPU Assets, with an end-of-term purchase option</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provided to the Lessee. This lease agreement represents the Company’s first transaction within its new business line and marks the initial step towards executing its pivot into the compute infrastructure space.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w:t>
      </w:r>
    </w:p>
    <w:p>
      <w:pPr>
        <w:spacing w:after="0" w:line="119" w:lineRule="exact"/>
        <w:rPr>
          <w:sz w:val="20"/>
          <w:szCs w:val="20"/>
          <w:color w:val="auto"/>
        </w:rPr>
      </w:pPr>
    </w:p>
    <w:p>
      <w:pPr>
        <w:jc w:val="both"/>
        <w:ind w:right="260" w:firstLine="440"/>
        <w:spacing w:after="0" w:line="312" w:lineRule="auto"/>
        <w:rPr>
          <w:sz w:val="20"/>
          <w:szCs w:val="20"/>
          <w:color w:val="auto"/>
        </w:rPr>
      </w:pPr>
      <w:r>
        <w:rPr>
          <w:rFonts w:ascii="Times New Roman" w:cs="Times New Roman" w:eastAsia="Times New Roman" w:hAnsi="Times New Roman"/>
          <w:sz w:val="17"/>
          <w:szCs w:val="17"/>
          <w:color w:val="auto"/>
        </w:rPr>
        <w:t>The Convertible Notes contain customary affirmative and negative covenants, including certain limitations on debt, liens, restricted payments, asset transfers, changes in the business and transactions with affiliates. The Convertible Notes also contain standard and customary events of default.</w:t>
      </w:r>
    </w:p>
    <w:p>
      <w:pPr>
        <w:spacing w:after="0" w:line="140"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The Convertible Notes, if issued, will be issued in multiple closings. The initial $5.25 million in aggregate principal amount of Convertible Notes would be issued as follows: $3.25 million in aggregate principal amount of Convertible Notes at the initial closing, and an additional $2.0 million in aggregate principal amount of Convertible Notes, subject to the satisfaction of customary conditions and the approval of the Nasdaq Proposal. The remaining additional tranches, in an aggregate principal amount of up to $44.75 million in Convertible Notes, may be sold at the option of the Investor.</w:t>
      </w:r>
    </w:p>
    <w:p>
      <w:pPr>
        <w:spacing w:after="0" w:line="16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Unless earlier converted, or redeemed, the Convertible Notes will mature on the second anniversary of the date of issuance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and we are required to pay, on the Maturity Date, all outstanding principal, accrued and unpaid interest and accrued and unpaid late charges on such principal and interest, if any</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Convertible Notes bear interest at the rate of 12.0% per annum which (a) will commence accruing on the date of issuance, (b) will be computed on the basis of a 360-day year and twelve 30-day months and (c) will be payable, subject to the satisfaction of customary equity conditions, in shares of our Class A common stock or, at our option, in cash, in arrears on the first calendar day of each calendar quarter, commencing on the three month anniversary of the issuance date (each an “</w:t>
      </w:r>
      <w:r>
        <w:rPr>
          <w:rFonts w:ascii="Times New Roman" w:cs="Times New Roman" w:eastAsia="Times New Roman" w:hAnsi="Times New Roman"/>
          <w:sz w:val="18"/>
          <w:szCs w:val="18"/>
          <w:u w:val="single" w:color="auto"/>
          <w:color w:val="auto"/>
        </w:rPr>
        <w:t>Interest Date</w:t>
      </w:r>
      <w:r>
        <w:rPr>
          <w:rFonts w:ascii="Times New Roman" w:cs="Times New Roman" w:eastAsia="Times New Roman" w:hAnsi="Times New Roman"/>
          <w:sz w:val="18"/>
          <w:szCs w:val="18"/>
          <w:color w:val="auto"/>
        </w:rPr>
        <w:t>”). If a holder elects to convert or redeem all or any portion of a Convertible Note prior to the Maturity Date, all accrued and unpaid interest on the amount being converted or redeemed will also be payable. The Convertible Notes are issued with a 5% original issue discount. We are required to pay a late charge not in excess of 17% on any amount of principal or other amounts that are not paid when due.</w:t>
      </w:r>
    </w:p>
    <w:p>
      <w:pPr>
        <w:spacing w:after="0" w:line="189"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Convertible Notes will be senior secured obligations of the Company (subject only to certain permitted indebtedness, including the indebtedness of the Company and certain of its subsidiaries under the Amended Credit Agreement (as defined herein) to be paid in full concurrently with the closing of the Asset Sale, as defined herein), which will be secured by the Electronics Assets and the Company’s equity in the NewBird Subsidiary, and upon the closing of the Asset Sale, all the other assets of the Company and its subsidiaries. Subject to the foregoing, until such date no Convertible Notes remain outstanding, all payments due under the Convertible Notes will be senior to all of our other indebtedness and other indebtedness of any of our subsidiaries.</w:t>
      </w:r>
    </w:p>
    <w:p>
      <w:pPr>
        <w:sectPr>
          <w:pgSz w:w="11900" w:h="16838" w:orient="portrait"/>
          <w:cols w:equalWidth="0" w:num="1">
            <w:col w:w="10980"/>
          </w:cols>
          <w:pgMar w:left="440" w:top="293" w:right="479" w:bottom="1440" w:gutter="0" w:footer="0" w:header="0"/>
        </w:sectPr>
      </w:pPr>
    </w:p>
    <w:bookmarkStart w:id="2" w:name="page3"/>
    <w:bookmarkEnd w:id="2"/>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holder of Convertible Notes may convert all, or any part, of the outstanding principal of the Convertible Notes, together with accrued and unpaid interest, any make-whole amount and any late charges thereon, at any time, at such holder’s option, into our Class A common stock at the “Conversion Price” of 120% of the lower of (x) the closing bid price of our Class A common stock on the Trading Day ended immediately prior to the time of initial filing of the initial preliminary proxy with respect to the Asset Sale and (y) the closing bid price on the trading day ended immediately preceding the closing date of such applicable tranche (subject to proportional adjustment upon the occurrence of any stock split, stock dividend, stock combination and/or similar transactions). Each holder of Convertible Notes may also convert all, or any part, of the outstanding principal of the Convertible Notes, together with accrued and unpaid interest, any make-whole amount and any late charges thereon (subject to an additional 25% premium if an Event of Default then exists), at any time, at such holder’s option, into our Class A common stock at the “Alternate Conversion Price” calculated as follows: the lower of: (i) the Conversion Price then in effect; and (ii) either, (x) if no event of default then exists, 93% of the lowest volume weighted average price of our Class A common stock during the ten (10) consecutive Trading Days ending and including the Trading Day immediately preceding the delivery or deemed delivery of the applicable Conversion Notice; or (y) if an event of default then exists, 85% of the lowest volume weighted average price of our Class A common stock during the fifteen (15) consecutive Trading Days ending and including the Trading Day immediately preceding the delivery or deemed delivery of the applicable Conversion Notice.</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Conversions and issuance of our Class A common stock pursuant to the Convertible Notes are prohibited if such conversion or issuance would cause the applicable holder (together with its affiliates) to beneficially own in excess of 4.99% of the outstanding our Class A common stock (which percentage is subject to increase to 9.99% or decrease, at the option of such holder, except that any increase will only be effective upon 61-days’ prior notice to us).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Convertible Notes contain standard and customary events of default including but not limited: (i) the suspension from trading or the failure to list our Class A common stock within certain time periods; (ii) failure to make payments when due under the Convertible Notes; and (iii) bankruptcy or insolvency of the Company. If an event of default occurs, each holder may require us to redeem all or any portion of the Convertible Notes (including all accrued and unpaid interest and late charges thereon), in cash, at a 25% redemption premium to the greater of the face value and the equity value of our Class A common stock underlying the Convertible Notes.</w:t>
      </w:r>
    </w:p>
    <w:p>
      <w:pPr>
        <w:spacing w:after="0" w:line="183" w:lineRule="exact"/>
        <w:rPr>
          <w:sz w:val="20"/>
          <w:szCs w:val="20"/>
          <w:color w:val="auto"/>
        </w:r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The Convertible Notes prohibit us from entering specified fundamental transactions (including, without limitation, mergers, business combinations and similar transactions) unless we (or our successor) is a public company that assumes in writing all of our obligations under the Convertible Notes.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 change of control of the Company, each holder may require us to redeem in cash all, or any portion, of the Convertible Notes at a 25% redemption premium to the greater of (i) the face value of the Convertible Notes to be redeemed, (ii) the equity value of our Class A common stock underlying such Convertible Notes, and (iii) the equity value of the change of control consideration payable to the holder of our Class A common stock underlying such Convertible Notes.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holders of the Convertible Notes may require us to redeem the Convertible Notes, in whole or in part, upon the occurrence of certain offerings of equity or equity-linked securities and/or any asset transfer or sale. In such an event, we would be required to redeem Convertible Notes using 25% of the gross proceeds of any Subsequent Placement and 100% of the gross proceeds of any asset transfer or sale (other than the Asset Sale), as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Rights Agreement</w:t>
      </w:r>
    </w:p>
    <w:p>
      <w:pPr>
        <w:spacing w:after="0" w:line="11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April 19, 2026, the Company entered into a Registration Rights Agreement with the Investor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has granted to the Investor customary registration rights with respect to the shares of Class A common stock issuable upon conversion of the Convertible Notes.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A&amp;R Purchase Agreement, the Convertible Notes and the Registration Rights Agreements are not complete and are qualified in their entirety by reference to the full text of those agreements, copies of which are filed as Exhibits 10.1, 10.2 and 10.3 to this Current Report on Form 8-K and incorporated herein by reference. The representations, warranties and covenants contained in such agreement were made only for purposes of such agreement and as of specific date, were solely for the benefit of the parties to such agreement and may be subject to limitations agreed upon by the contracting parties.</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Support Matters</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As previously disclosed, on April 8, 2026, the Company entered into Support Agreements with certain stockholders of the Company. The form of Support Agreement is filed as Exhibit 10.4 to this Current Report on Form 8-K and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Credit Agreement Matters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On April 19, 2026, the Company, Allbirds International, Inc., a Delaware corporation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the Lenders party thereto, and Second Avenue Capital Partners LLC, as Administrative Agent and Collateral Agent (in such capacities,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entered into a Second Amendment to Credit Agreement and Other Loan Documents (the “</w:t>
      </w:r>
      <w:r>
        <w:rPr>
          <w:rFonts w:ascii="Times New Roman" w:cs="Times New Roman" w:eastAsia="Times New Roman" w:hAnsi="Times New Roman"/>
          <w:sz w:val="18"/>
          <w:szCs w:val="18"/>
          <w:u w:val="single" w:color="auto"/>
          <w:color w:val="auto"/>
        </w:rPr>
        <w:t>Second Amendment to Credit Agreement</w:t>
      </w:r>
      <w:r>
        <w:rPr>
          <w:rFonts w:ascii="Times New Roman" w:cs="Times New Roman" w:eastAsia="Times New Roman" w:hAnsi="Times New Roman"/>
          <w:sz w:val="18"/>
          <w:szCs w:val="18"/>
          <w:color w:val="auto"/>
        </w:rPr>
        <w:t>”), which Second Amendment to Credit Agreement amends that certain Credit Agreement dated as of June 30, 2025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the Second Amendment to Credit Agreement,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by and among the Company, the Guarantor, the other Persons from time to time party thereto as “Guarantors,” the Lenders party thereto, and the Agent. Capitalized terms used but not defined in the paragraphs found under the subheading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 to Credit Agreement</w:t>
      </w:r>
      <w:r>
        <w:rPr>
          <w:rFonts w:ascii="Times New Roman" w:cs="Times New Roman" w:eastAsia="Times New Roman" w:hAnsi="Times New Roman"/>
          <w:sz w:val="18"/>
          <w:szCs w:val="18"/>
          <w:color w:val="auto"/>
        </w:rPr>
        <w:t>” have the respective meanings ascribed to such terms in the Amended Credit Agreement. The Second Amendment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among other things, amends the Existing Credit Agreement to expressly permit the Company to enter into the Purchase Agreement, Issue the Convertible Notes and the grant liens on the Company’s assets (including on the Electronics Assets) in favor of the Investor.</w:t>
      </w:r>
    </w:p>
    <w:p>
      <w:pPr>
        <w:spacing w:after="0" w:line="188"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In connection with the Second Amendment to Credit agreement, on April 19, 2026, the Company, the Guarantor, the Agent, the Investor and the NewBird Subsidiary entered into a Subordination Agreement (the “</w:t>
      </w:r>
      <w:r>
        <w:rPr>
          <w:rFonts w:ascii="Times New Roman" w:cs="Times New Roman" w:eastAsia="Times New Roman" w:hAnsi="Times New Roman"/>
          <w:sz w:val="17"/>
          <w:szCs w:val="17"/>
          <w:u w:val="single" w:color="auto"/>
          <w:color w:val="auto"/>
        </w:rPr>
        <w:t>Subordination Agreement</w:t>
      </w:r>
      <w:r>
        <w:rPr>
          <w:rFonts w:ascii="Times New Roman" w:cs="Times New Roman" w:eastAsia="Times New Roman" w:hAnsi="Times New Roman"/>
          <w:sz w:val="17"/>
          <w:szCs w:val="17"/>
          <w:color w:val="auto"/>
        </w:rPr>
        <w:t>”), to among other things, provide for the subordination of</w:t>
      </w:r>
    </w:p>
    <w:p>
      <w:pPr>
        <w:spacing w:after="0" w:line="1" w:lineRule="exact"/>
        <w:rPr>
          <w:sz w:val="20"/>
          <w:szCs w:val="20"/>
          <w:color w:val="auto"/>
        </w:rPr>
      </w:pPr>
    </w:p>
    <w:p>
      <w:pPr>
        <w:ind w:left="4" w:right="40" w:hanging="4"/>
        <w:spacing w:after="0" w:line="252"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the Investor arising under the Facility to all of the Company’s obligations owing to the Agent arising under Amended Credit Agreement and (ii) the Investor’s security interests in the Company’s assets and property (other than the Company’s equity in the NewBird Subsidiary) to all of the Agent’s security interests in the Company’s assets and property. The foregoing descriptions of the Second Amendment to Credit Agreement and the Subordination Agreement are not complete and are qualified in their entirety by reference to the full text of those agreements, copies of which are filed as Exhibits 10.5 and 10.6 to this Current Report on Form 8-K and incorporated herein by reference. The representations, warranties and covenants contained in such agreement were made only for purposes of such agreement and as of specific date, were solely for the benefit of the parties to such agreement and may be subject to limitations agreed upon by the contracting parties.</w:t>
      </w:r>
    </w:p>
    <w:p>
      <w:pPr>
        <w:spacing w:after="0" w:line="333"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under the heading “Credit Agreement Matters” in Item 1.01 is incorporated by reference into this Item 2.03.</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under the heading “Facility Matters” in Item 1.01 is incorporated by reference into this Item 3.02.</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On April 15, 2026, the Company issued a press release announcing the Facility and related matters. A copy of the Press Release is attached hereto as Exhibit 99.1.</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and Exhibit 99.1 attached hereto, is being furnished and will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such section. The information in this Item 7.01 and Exhibit 99.1 attached hereto, may not be incorporated by reference into any filing under the Securities Act of 1933, as amended, or the Exchange Act, except as expressly set forth by specific reference in such a filing to this Current Report.</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Amended Business Plan</w:t>
      </w:r>
    </w:p>
    <w:p>
      <w:pPr>
        <w:spacing w:after="0" w:line="11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As previously disclosed, on March 29, 2026, the Company entered into an Asset Purchase Agreement (the “</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with Allbirds IP LLC, a Delaware limited liability company affiliated with American Exchange Group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the transactions contemplated by the Asset Purchase Agreement, the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to sell the Purchased Assets of the Company, which relate to the Company’s existing footwear business and</w:t>
      </w:r>
    </w:p>
    <w:p>
      <w:pPr>
        <w:sectPr>
          <w:pgSz w:w="11900" w:h="16838" w:orient="portrait"/>
          <w:cols w:equalWidth="0" w:num="1">
            <w:col w:w="11004"/>
          </w:cols>
          <w:pgMar w:left="436" w:top="293" w:right="459" w:bottom="1440" w:gutter="0" w:footer="0" w:header="0"/>
        </w:sectPr>
      </w:pPr>
    </w:p>
    <w:bookmarkStart w:id="4" w:name="page5"/>
    <w:bookmarkEnd w:id="4"/>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represent a significant amount of our assets.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Buyer.</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Following the closing of the Asset Sale, which includes the rights to the use of the name “Allbirds,” we intend to continue operating Allbirds, Inc. under a new corporate name. With respect to the renamed corporate entity, we are investigating potential opportunities in the computing infrastructure market, including (either directly or through its subsidiaries) the acquisition and monetization of graphics processing units, related high-performance computing infrastructure capable to support high workloads (whether from artificial intelligence and machine learning or other needs of potential future customers) and other related assets (which we refer to collectively, as “</w:t>
      </w:r>
      <w:r>
        <w:rPr>
          <w:rFonts w:ascii="Times New Roman" w:cs="Times New Roman" w:eastAsia="Times New Roman" w:hAnsi="Times New Roman"/>
          <w:sz w:val="18"/>
          <w:szCs w:val="18"/>
          <w:u w:val="single" w:color="auto"/>
          <w:color w:val="auto"/>
        </w:rPr>
        <w:t>Electronics Assets</w:t>
      </w:r>
      <w:r>
        <w:rPr>
          <w:rFonts w:ascii="Times New Roman" w:cs="Times New Roman" w:eastAsia="Times New Roman" w:hAnsi="Times New Roman"/>
          <w:sz w:val="18"/>
          <w:szCs w:val="18"/>
          <w:color w:val="auto"/>
        </w:rPr>
        <w:t>,” and such anticipated business, the “</w:t>
      </w:r>
      <w:r>
        <w:rPr>
          <w:rFonts w:ascii="Times New Roman" w:cs="Times New Roman" w:eastAsia="Times New Roman" w:hAnsi="Times New Roman"/>
          <w:sz w:val="18"/>
          <w:szCs w:val="18"/>
          <w:u w:val="single" w:color="auto"/>
          <w:color w:val="auto"/>
        </w:rPr>
        <w:t>Electronics Infrastructure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In support of such business, we have entered into the Facility (as defined herein), the proceeds of which would permit the Company, through the NewBird Subsidiary, to purchase Electronics Assets and develop and expand the anticipated Electronics Infrastructure Business. These arrangements, which may include, without limitation, 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Risk Factors</w:t>
      </w:r>
    </w:p>
    <w:p>
      <w:pPr>
        <w:spacing w:after="0" w:line="119"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Facility and expansion of the business of the Company, the Company is filing supplemental risk factors (“</w:t>
      </w:r>
      <w:r>
        <w:rPr>
          <w:rFonts w:ascii="Times New Roman" w:cs="Times New Roman" w:eastAsia="Times New Roman" w:hAnsi="Times New Roman"/>
          <w:sz w:val="18"/>
          <w:szCs w:val="18"/>
          <w:u w:val="single" w:color="auto"/>
          <w:color w:val="auto"/>
        </w:rPr>
        <w:t>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 pertaining to the diversification of its business strategy to update disclosures contained in the Company’s prior public filings, including those discussed under the heading “Item 1A. Risk Factors” in (i) the Company’s Annual Report on Form 10-K for the year ended December 31, 2025. The supplemental risk factors are filed as Exhibit 99.2 to this Current Report on Form 8-K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Special Meeting</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the Preliminary Proxy Statement, the Company disclosed that the Special Meeting was scheduled for 12:00 p.m. Pacific Time on May 18, 2026 and that the record date for the Special Meeting was April 13, 2026. The Special Meeting may be postponed for a later date, and the meeting date and record date of the Special Meeting will be announced when determined by the board of directors of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Forward-Looking Statements</w:t>
      </w:r>
    </w:p>
    <w:p>
      <w:pPr>
        <w:spacing w:after="0" w:line="11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the term is defined under federal securities laws, that are based on management’s beliefs and assumptions and on information currently available to management. All statements other than statements of historical facts, including statements regarding or implying the Company’s expectations and intentions regarding the completion or effects of entry into the Facility, the issuance of the Convertible Notes, whether the Investor will invest in additional tranches of the Convertible Notes, the use of proceeds from the Facility, its expectations and intentions regarding the First Amendment to Credit Agreement, expectations and intentions regarding the completion or effects of the Asset Sale, expectations and intentions regarding the continuing business of the Company, the renaming of the corporate entity, expectations and intentions regarding the Electronics Infrastructure Business, and other statements that do not relate solely to historical or current facts are forward-looking statements. In some cases, you can identify forward-looking statements because they contain words such as “designed,” “objective,” “anticipate,” “believe,” “contemplate,” “continue,” “could,” “estimate,” “expect,” “intend,” “may,” “plan,” “potential,” “predict,” “project,” “should,” “target,” “will,” or “would” or the negative of these words or other similar terms or expressions. Forward-looking statements are subject to numerous assumptions, risks and uncertainties which could cause actual results or facts to differ materially from those statements expressed or implied in the forward-looking statements.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our actual results or performance to differ materially from those contained in any forward-looking statements we may make.</w:t>
      </w:r>
    </w:p>
    <w:p>
      <w:pPr>
        <w:spacing w:after="0" w:line="19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 further discussion of these and other factors that could cause our actual outcomes and results to differ materially from any results, performance, or achievements anticipated, expressed, or implied by these forward-looking statements is included in the filings we make with the SEC, including our Annual Report on Form 10-K for the year</w:t>
      </w:r>
    </w:p>
    <w:p>
      <w:pPr>
        <w:sectPr>
          <w:pgSz w:w="11900" w:h="16838" w:orient="portrait"/>
          <w:cols w:equalWidth="0" w:num="1">
            <w:col w:w="11000"/>
          </w:cols>
          <w:pgMar w:left="440" w:top="297" w:right="4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ended December 31, 2025, the Supplemental Risk Factors, and other reports we may file with the SEC from time to time. The forward-looking statements contained in this Current Report on Form 8-K relate only to events as of the date stated or, if no date is stated, as of the date of this Current Report on Form 8-K. We undertake no obligation to update any forward-looking statements made in this Current Report on Form 8-K to reflect events or circumstances after the date of this Current Report on Form 8-K or to reflect new information or the occurrence of unanticipated events, except as required by law.</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Amended &amp; Restated Securities Purchase Agreement, dated April 19, 2026, by and between Allbirds, Inc. and the Investor party thereto</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Form of Convertible Note</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Form of Support Agreement</w:t>
      </w:r>
    </w:p>
    <w:p>
      <w:pPr>
        <w:spacing w:after="0" w:line="117" w:lineRule="exact"/>
        <w:rPr>
          <w:sz w:val="20"/>
          <w:szCs w:val="20"/>
          <w:color w:val="auto"/>
        </w:rPr>
      </w:pPr>
    </w:p>
    <w:p>
      <w:pPr>
        <w:ind w:left="660" w:right="42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0000EE"/>
        </w:rPr>
        <w:t>Second Amendment to Credit Agreement and other Loan Documents, dated as of April 19, 2026, by and between Allbirds, Inc. and the Lenders party thereto, and Second Avenue Capital Partners LLC</w:t>
      </w:r>
    </w:p>
    <w:p>
      <w:pPr>
        <w:spacing w:after="0" w:line="54" w:lineRule="exact"/>
        <w:rPr>
          <w:sz w:val="20"/>
          <w:szCs w:val="20"/>
          <w:color w:val="auto"/>
        </w:rPr>
      </w:pPr>
    </w:p>
    <w:p>
      <w:pPr>
        <w:ind w:left="660" w:right="18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0000EE"/>
        </w:rPr>
        <w:t>Subordination Agreement, dated as of April 19, 2026, by and among Allbirds, Inc., Allbirds International, Inc., NewBird AI, LLC, Second Avenue Capital Partners LLC and the Investor</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15, 2026</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Supplemental Risk Factors</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in the Inline XBRL document).</w:t>
      </w:r>
    </w:p>
    <w:p>
      <w:pPr>
        <w:sectPr>
          <w:pgSz w:w="11900" w:h="16838" w:orient="portrait"/>
          <w:cols w:equalWidth="0" w:num="1">
            <w:col w:w="10820"/>
          </w:cols>
          <w:pgMar w:left="440" w:top="297" w:right="639" w:bottom="1440" w:gutter="0" w:footer="0" w:header="0"/>
        </w:sectPr>
      </w:pPr>
    </w:p>
    <w:bookmarkStart w:id="6" w:name="page7"/>
    <w:bookmarkEnd w:id="6"/>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36"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Joe Vernachio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720"/>
          </w:cols>
          <w:pgMar w:left="440" w:top="293" w:right="739" w:bottom="1440" w:gutter="0" w:footer="0" w:header="0"/>
        </w:sectPr>
      </w:pPr>
    </w:p>
    <w:bookmarkStart w:id="7" w:name="page8"/>
    <w:bookmarkEnd w:id="7"/>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SECURITIES PURCHASE AGREEMENT</w:t>
      </w:r>
    </w:p>
    <w:p>
      <w:pPr>
        <w:spacing w:after="0" w:line="22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AMENDED AND RESTATED 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19, 2026, is by and among Allbirds, Inc., a Delaware corporation with offices located at 530 Washington Street, San Francisco, CA 94111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listed on the Schedule of Buyers attached hereto (individually,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A. On April 14, 2026, the Company entered into that certain Securities Purchase Agreement (the “</w:t>
      </w:r>
      <w:r>
        <w:rPr>
          <w:rFonts w:ascii="Times New Roman" w:cs="Times New Roman" w:eastAsia="Times New Roman" w:hAnsi="Times New Roman"/>
          <w:sz w:val="18"/>
          <w:szCs w:val="18"/>
          <w:b w:val="1"/>
          <w:bCs w:val="1"/>
          <w:color w:val="auto"/>
        </w:rPr>
        <w:t>Original Securities Purchase Agreement</w:t>
      </w:r>
      <w:r>
        <w:rPr>
          <w:rFonts w:ascii="Times New Roman" w:cs="Times New Roman" w:eastAsia="Times New Roman" w:hAnsi="Times New Roman"/>
          <w:sz w:val="18"/>
          <w:szCs w:val="18"/>
          <w:color w:val="auto"/>
        </w:rPr>
        <w:t>”), by and between the Company and the Buyers, pursuant to which the Company contemplated issuing the Notes (as defined below).</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The Company and the Buyers desire to amend and restate the Original Securities Purchase Agreement in the form hereof.</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C. The Company and each Buyer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 The Company has authorized a new series of senior secured convertible notes of the Company, in the aggregate original principal amount of up to $50,000,000, substantially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Notes shall be convertible into shares of Common Stock (as defined below) (the shares of Common Stock issuable pursuant to the terms of the Notes, including, without limitation, upon conversion or otherwise, collectively,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in accordance with the terms of the Notes.</w:t>
      </w:r>
    </w:p>
    <w:p>
      <w:pPr>
        <w:spacing w:after="0" w:line="180"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E. Each Buyer wishes to purchase, and the Company wishes to sell, upon the terms and conditions stated in this Agreement, at the Initial Closing (as defined below), a Note in the aggregate original principal amount as set forth opposite such Buyer’s name in column (3) on the Schedule of Buyers (which aggregate principal amount for all Buyers shall not exceed $3,250,000) (each, an “</w:t>
      </w:r>
      <w:r>
        <w:rPr>
          <w:rFonts w:ascii="Times New Roman" w:cs="Times New Roman" w:eastAsia="Times New Roman" w:hAnsi="Times New Roman"/>
          <w:sz w:val="17"/>
          <w:szCs w:val="17"/>
          <w:b w:val="1"/>
          <w:bCs w:val="1"/>
          <w:color w:val="auto"/>
        </w:rPr>
        <w:t>Initial Note</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Initial Notes</w:t>
      </w:r>
      <w:r>
        <w:rPr>
          <w:rFonts w:ascii="Times New Roman" w:cs="Times New Roman" w:eastAsia="Times New Roman" w:hAnsi="Times New Roman"/>
          <w:sz w:val="17"/>
          <w:szCs w:val="17"/>
          <w:color w:val="auto"/>
        </w:rPr>
        <w:t>”)(the shares of Common Stock issuable pursuant to the terms of the Initial Notes, upon conversion or otherwise, collectively, the “</w:t>
      </w:r>
      <w:r>
        <w:rPr>
          <w:rFonts w:ascii="Times New Roman" w:cs="Times New Roman" w:eastAsia="Times New Roman" w:hAnsi="Times New Roman"/>
          <w:sz w:val="17"/>
          <w:szCs w:val="17"/>
          <w:b w:val="1"/>
          <w:bCs w:val="1"/>
          <w:color w:val="auto"/>
        </w:rPr>
        <w:t>Initial Conversion Shares</w:t>
      </w:r>
      <w:r>
        <w:rPr>
          <w:rFonts w:ascii="Times New Roman" w:cs="Times New Roman" w:eastAsia="Times New Roman" w:hAnsi="Times New Roman"/>
          <w:sz w:val="17"/>
          <w:szCs w:val="17"/>
          <w:color w:val="auto"/>
        </w:rPr>
        <w:t>”).</w:t>
      </w:r>
    </w:p>
    <w:p>
      <w:pPr>
        <w:sectPr>
          <w:pgSz w:w="11900" w:h="16838" w:orient="portrait"/>
          <w:cols w:equalWidth="0" w:num="1">
            <w:col w:w="11020"/>
          </w:cols>
          <w:pgMar w:left="440" w:top="117" w:right="439" w:bottom="1440" w:gutter="0" w:footer="0" w:header="0"/>
        </w:sectPr>
      </w:pPr>
    </w:p>
    <w:bookmarkStart w:id="8" w:name="page9"/>
    <w:bookmarkEnd w:id="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Subject to the terms and conditions set forth in this Agreement, the Company may require each Buyer (or one or more Buyers, severally, may require the Company, as applicable) to participate in one or more Additional Closings (as defined below) for the purchase by such Buyer, and the sale by the Company, of (a) with respect to the Additional Mandatory Closing (as defined below), a Note in the aggregate original principal amount not to exceed the maximum aggregate principal amount as set forth opposite such Buyer’s name in column (4) on the Schedule of Buyers (which aggregate principal amount for all Buyers participating in the Additional Mandatory Closing shall not exceed $2,000,000 (or such other amount as the Company and each Buyer shall mutually agree in writing)) and (b) with respect to any Additional Optional Closings (as defined below), one or more Notes with an aggregate original principal amount for all Additional Optional Closings not to exceed the maximum aggregate principal amount as set forth opposite such Buyer’s name in column (5) on the Schedule of Buyers (which aggregate principal amount for all Buyers for all Additional Optional Closings shall not exceed $44,750,000 (or such other amount as the Company and each Buyer shall mutually agree in writing)) (each Note issued at an Additional Closing, an “</w:t>
      </w:r>
      <w:r>
        <w:rPr>
          <w:rFonts w:ascii="Times New Roman" w:cs="Times New Roman" w:eastAsia="Times New Roman" w:hAnsi="Times New Roman"/>
          <w:sz w:val="18"/>
          <w:szCs w:val="18"/>
          <w:b w:val="1"/>
          <w:bCs w:val="1"/>
          <w:color w:val="auto"/>
        </w:rPr>
        <w:t>Additional 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(the Conversion Shares issuable pursuant to the terms of the Additional Notes, upon conversion or otherwise, collectively, the “</w:t>
      </w:r>
      <w:r>
        <w:rPr>
          <w:rFonts w:ascii="Times New Roman" w:cs="Times New Roman" w:eastAsia="Times New Roman" w:hAnsi="Times New Roman"/>
          <w:sz w:val="18"/>
          <w:szCs w:val="18"/>
          <w:b w:val="1"/>
          <w:bCs w:val="1"/>
          <w:color w:val="auto"/>
        </w:rPr>
        <w:t>Additional Conversion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G. At the Initial Closing, the parties hereto shall execute and deliver a Registration Rights Agreement,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 The Notes and the Conversion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 The Notes will rank senior to all outstanding and future indebtedness of the Company, and its Subsidiaries (as defined below) other than Permitted Indebtedness (as defined in the Notes) secured by Permitted Liens (as defined in the Notes) and will be secured by a first priority perfected security interest in all of the existing and future assets of the Company and its direct and indirect Subsidiaries (other than Excluded Collateral (as defined in Security Agreement (as defined below))) as evidenced by (a) a security agreement, in form and substance satisfactory to the Required Holders (as defined below), in their sole discretion (as amended, restated, supplemented and modified from time to time,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(b) the Controlled Account Agreements (as defined in the Security Agreement) (the “</w:t>
      </w:r>
      <w:r>
        <w:rPr>
          <w:rFonts w:ascii="Times New Roman" w:cs="Times New Roman" w:eastAsia="Times New Roman" w:hAnsi="Times New Roman"/>
          <w:sz w:val="18"/>
          <w:szCs w:val="18"/>
          <w:b w:val="1"/>
          <w:bCs w:val="1"/>
          <w:color w:val="auto"/>
        </w:rPr>
        <w:t>Control Agreements</w:t>
      </w:r>
      <w:r>
        <w:rPr>
          <w:rFonts w:ascii="Times New Roman" w:cs="Times New Roman" w:eastAsia="Times New Roman" w:hAnsi="Times New Roman"/>
          <w:sz w:val="18"/>
          <w:szCs w:val="18"/>
          <w:color w:val="auto"/>
        </w:rPr>
        <w:t>”, and together with the Security Agreement, the Perfection Certificate(s) (as defined below) and the other security documents and agreements entered into in connection with this Agreement and each of such other documents and agreements, as each may be amended or modified from time to time, collectively, the “</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and (c) a guaranty executed by NewBird AI, LLC, a Subsidiary of the Company (the “</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in form and substance satisfactory to the Required Holders, in their sole discretion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pursuant to which the New Subsidiary guarantees the obligations of the Company under the Transaction Documents (as defined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 The Company has entered into agreements to consummate the Shoe Business Sale (as defined in the Notes) and related transactions described in the Preliminary Proxy Statement (as defined below), all of which are permitted under the Transaction Documents, and related agreements without notice, consent, penalty, or further obligation.</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4" w:right="82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above recitals and the mutual covenants contained herein and for other good and valuable consideration, the receipt and sufficiency of which are hereby acknowledged, the Company and each Buyer hereby agree as follows:</w:t>
      </w:r>
    </w:p>
    <w:p>
      <w:pPr>
        <w:spacing w:after="0" w:line="244" w:lineRule="exact"/>
        <w:rPr>
          <w:sz w:val="20"/>
          <w:szCs w:val="20"/>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NOTES.</w:t>
      </w:r>
    </w:p>
    <w:p>
      <w:pPr>
        <w:spacing w:after="0" w:line="121"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20" w:firstLine="419"/>
        <w:spacing w:after="0" w:line="261" w:lineRule="auto"/>
        <w:tabs>
          <w:tab w:leader="none" w:pos="108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Initial Notes</w:t>
      </w:r>
      <w:r>
        <w:rPr>
          <w:rFonts w:ascii="Times New Roman" w:cs="Times New Roman" w:eastAsia="Times New Roman" w:hAnsi="Times New Roman"/>
          <w:sz w:val="18"/>
          <w:szCs w:val="18"/>
          <w:color w:val="auto"/>
        </w:rPr>
        <w:t>. Subject to the satisfaction (or waiver) of the conditions set forth in Sections 6(a) and 7(a) below, the Company shall issue and sell to each Buyer, and each Buyer severally, but not jointly, agrees to purchase from the Company on the Initial Closing Date an Initial Note in the original principal amount as is set forth opposite such Buyer’s name in column (3) on the Schedule of Buyers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right="20" w:firstLine="419"/>
        <w:spacing w:after="0" w:line="281" w:lineRule="auto"/>
        <w:tabs>
          <w:tab w:leader="none" w:pos="1132"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of Additional Notes</w:t>
      </w:r>
      <w:r>
        <w:rPr>
          <w:rFonts w:ascii="Times New Roman" w:cs="Times New Roman" w:eastAsia="Times New Roman" w:hAnsi="Times New Roman"/>
          <w:sz w:val="17"/>
          <w:szCs w:val="17"/>
          <w:color w:val="auto"/>
        </w:rPr>
        <w:t>. Subject to the satisfaction (or waiver) of the conditions set forth in Sections 1(b)(ii), 6(b) and 7(b) below, the Company shall issue and sell to such Buyer, and such Buyer severally, but not jointly, agrees to purchase from the Company certain Additional Notes on the applicable Additional Closing Date (as defined below) in such aggregate original principal amount as is set forth in such applicable Additional Closing Notice (as defined below) (each such closing of the purchase of such Additional Notes, each, an “</w:t>
      </w:r>
      <w:r>
        <w:rPr>
          <w:rFonts w:ascii="Times New Roman" w:cs="Times New Roman" w:eastAsia="Times New Roman" w:hAnsi="Times New Roman"/>
          <w:sz w:val="17"/>
          <w:szCs w:val="17"/>
          <w:b w:val="1"/>
          <w:bCs w:val="1"/>
          <w:color w:val="auto"/>
        </w:rPr>
        <w:t>Additional Closing</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4" w:firstLine="436"/>
        <w:spacing w:after="0" w:line="286"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Each of the Initial Closing and any Additional Closings (collectively, the “</w:t>
      </w:r>
      <w:r>
        <w:rPr>
          <w:rFonts w:ascii="Times New Roman" w:cs="Times New Roman" w:eastAsia="Times New Roman" w:hAnsi="Times New Roman"/>
          <w:sz w:val="18"/>
          <w:szCs w:val="18"/>
          <w:b w:val="1"/>
          <w:bCs w:val="1"/>
          <w:color w:val="auto"/>
        </w:rPr>
        <w:t>Closings</w:t>
      </w:r>
      <w:r>
        <w:rPr>
          <w:rFonts w:ascii="Times New Roman" w:cs="Times New Roman" w:eastAsia="Times New Roman" w:hAnsi="Times New Roman"/>
          <w:sz w:val="18"/>
          <w:szCs w:val="18"/>
          <w:color w:val="auto"/>
        </w:rPr>
        <w:t>”) of the purchase of the Notes by the Buyers shall occur at the offices of Kelley Drye &amp; Warren LLP, 3 World Trade Center, 175 Greenwich Street, New York, NY 10007.</w:t>
      </w:r>
    </w:p>
    <w:p>
      <w:pPr>
        <w:spacing w:after="0" w:line="46" w:lineRule="exact"/>
        <w:rPr>
          <w:rFonts w:ascii="Times New Roman" w:cs="Times New Roman" w:eastAsia="Times New Roman" w:hAnsi="Times New Roman"/>
          <w:sz w:val="18"/>
          <w:szCs w:val="18"/>
          <w:color w:val="auto"/>
        </w:rPr>
      </w:pPr>
    </w:p>
    <w:p>
      <w:pPr>
        <w:ind w:left="444" w:right="40" w:firstLine="419"/>
        <w:spacing w:after="0" w:line="255" w:lineRule="auto"/>
        <w:tabs>
          <w:tab w:leader="none" w:pos="108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The date and time of the Initial Closing (the “</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shall be 10:00 a.m., New York time, on the first (1st) Business Day on which the conditions to the Initial Closing set forth in Sections 6(a) and 7(a) below are satisfied or waived (or such other date as is mutually agreed to by the Company and each Buyer). As used herein “Business Day”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0" w:name="page11"/>
    <w:bookmarkEnd w:id="10"/>
    <w:p>
      <w:pPr>
        <w:ind w:left="261" w:hanging="261"/>
        <w:spacing w:after="0"/>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Closings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39" w:lineRule="auto"/>
        <w:tabs>
          <w:tab w:leader="none" w:pos="81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Closings at Buyers’ Election</w:t>
      </w:r>
      <w:r>
        <w:rPr>
          <w:rFonts w:ascii="Times New Roman" w:cs="Times New Roman" w:eastAsia="Times New Roman" w:hAnsi="Times New Roman"/>
          <w:sz w:val="18"/>
          <w:szCs w:val="18"/>
          <w:color w:val="auto"/>
        </w:rPr>
        <w:t>. Subject to the satisfaction (or waiver) of the conditions to closing set forth in this Section 1(b)(ii)(A) and Section 6(b) and Section 7(b) below (Sections 6(b) and 7(b), collectively, the “</w:t>
      </w:r>
      <w:r>
        <w:rPr>
          <w:rFonts w:ascii="Times New Roman" w:cs="Times New Roman" w:eastAsia="Times New Roman" w:hAnsi="Times New Roman"/>
          <w:sz w:val="18"/>
          <w:szCs w:val="18"/>
          <w:b w:val="1"/>
          <w:bCs w:val="1"/>
          <w:color w:val="auto"/>
        </w:rPr>
        <w:t>Additional Closing Conditions</w:t>
      </w:r>
      <w:r>
        <w:rPr>
          <w:rFonts w:ascii="Times New Roman" w:cs="Times New Roman" w:eastAsia="Times New Roman" w:hAnsi="Times New Roman"/>
          <w:sz w:val="18"/>
          <w:szCs w:val="18"/>
          <w:color w:val="auto"/>
        </w:rPr>
        <w:t>”), at any time after the Initial Closing Date, each Buyer, severally, shall have the right, exercisable by e-mail delivery of a written notice to the Company (each, an “</w:t>
      </w:r>
      <w:r>
        <w:rPr>
          <w:rFonts w:ascii="Times New Roman" w:cs="Times New Roman" w:eastAsia="Times New Roman" w:hAnsi="Times New Roman"/>
          <w:sz w:val="18"/>
          <w:szCs w:val="18"/>
          <w:b w:val="1"/>
          <w:bCs w:val="1"/>
          <w:color w:val="auto"/>
        </w:rPr>
        <w:t>Additional Optional Closing Notice</w:t>
      </w:r>
      <w:r>
        <w:rPr>
          <w:rFonts w:ascii="Times New Roman" w:cs="Times New Roman" w:eastAsia="Times New Roman" w:hAnsi="Times New Roman"/>
          <w:sz w:val="18"/>
          <w:szCs w:val="18"/>
          <w:color w:val="auto"/>
        </w:rPr>
        <w:t>”, and the date of such Additional Optional Closing Notice, each, an “</w:t>
      </w:r>
      <w:r>
        <w:rPr>
          <w:rFonts w:ascii="Times New Roman" w:cs="Times New Roman" w:eastAsia="Times New Roman" w:hAnsi="Times New Roman"/>
          <w:sz w:val="18"/>
          <w:szCs w:val="18"/>
          <w:b w:val="1"/>
          <w:bCs w:val="1"/>
          <w:color w:val="auto"/>
        </w:rPr>
        <w:t>Additional Optional Closing Notice Date</w:t>
      </w:r>
      <w:r>
        <w:rPr>
          <w:rFonts w:ascii="Times New Roman" w:cs="Times New Roman" w:eastAsia="Times New Roman" w:hAnsi="Times New Roman"/>
          <w:sz w:val="18"/>
          <w:szCs w:val="18"/>
          <w:color w:val="auto"/>
        </w:rPr>
        <w:t>”) to purchase, and to require the Company to sell to such Buyer, at one or more Additional Closings (such Closing, each, an “</w:t>
      </w:r>
      <w:r>
        <w:rPr>
          <w:rFonts w:ascii="Times New Roman" w:cs="Times New Roman" w:eastAsia="Times New Roman" w:hAnsi="Times New Roman"/>
          <w:sz w:val="18"/>
          <w:szCs w:val="18"/>
          <w:b w:val="1"/>
          <w:bCs w:val="1"/>
          <w:color w:val="auto"/>
        </w:rPr>
        <w:t>Additional Optional Closing</w:t>
      </w:r>
      <w:r>
        <w:rPr>
          <w:rFonts w:ascii="Times New Roman" w:cs="Times New Roman" w:eastAsia="Times New Roman" w:hAnsi="Times New Roman"/>
          <w:sz w:val="18"/>
          <w:szCs w:val="18"/>
          <w:color w:val="auto"/>
        </w:rPr>
        <w:t>”, and the date of any such Additional Optional Closing, each, an “</w:t>
      </w:r>
      <w:r>
        <w:rPr>
          <w:rFonts w:ascii="Times New Roman" w:cs="Times New Roman" w:eastAsia="Times New Roman" w:hAnsi="Times New Roman"/>
          <w:sz w:val="18"/>
          <w:szCs w:val="18"/>
          <w:b w:val="1"/>
          <w:bCs w:val="1"/>
          <w:color w:val="auto"/>
        </w:rPr>
        <w:t>Additional Optional Closing Date</w:t>
      </w:r>
      <w:r>
        <w:rPr>
          <w:rFonts w:ascii="Times New Roman" w:cs="Times New Roman" w:eastAsia="Times New Roman" w:hAnsi="Times New Roman"/>
          <w:sz w:val="18"/>
          <w:szCs w:val="18"/>
          <w:color w:val="auto"/>
        </w:rPr>
        <w:t>”), up to such maximum aggregate principal amount of Additional Notes equal to the sum of the amounts set forth opposite such Buyer’s name in columns (4) and (5) on the Schedule of Buyers (subject to reduction, on a dollar-for-dollar basis for the aggregate principal amount of any Additional Notes issued in any Additional Closing prior to such applicable Additional Optional Closing Date)(each, an “</w:t>
      </w:r>
      <w:r>
        <w:rPr>
          <w:rFonts w:ascii="Times New Roman" w:cs="Times New Roman" w:eastAsia="Times New Roman" w:hAnsi="Times New Roman"/>
          <w:sz w:val="18"/>
          <w:szCs w:val="18"/>
          <w:b w:val="1"/>
          <w:bCs w:val="1"/>
          <w:color w:val="auto"/>
        </w:rPr>
        <w:t>Additional Optional Closing Maximum Amount</w:t>
      </w:r>
      <w:r>
        <w:rPr>
          <w:rFonts w:ascii="Times New Roman" w:cs="Times New Roman" w:eastAsia="Times New Roman" w:hAnsi="Times New Roman"/>
          <w:sz w:val="18"/>
          <w:szCs w:val="18"/>
          <w:color w:val="auto"/>
        </w:rPr>
        <w:t>”). Each Additional Optional Closing Notice shall specify (x) the proposed date and time of the applicable Additional Closing (which, if unspecified in such Additional Optional Closing Notice, shall be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(as defined in the Notes) after such Additional Optional Closing Notice or such other date as is mutually agreed to by the Company and each Buyer) and (y) the aggregate principal amount of Additional Notes to be purchased by each Buyer at such applicable Additional Optional Closing, which shall not exceed the Additional Optional Closing Maximum Amount of such applicable Buyer (or such other amount as the Company and such Buyer shall mutually agree). The Buyers’ rights to effect any Additional Optional Closings hereunder shall automatically terminate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Initial Closing Date (or such earlier date as the Buyers shall determine, in their sole discretion, by delivery of a written notice to the Company)(the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Expiration Date</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ind w:left="121" w:right="20" w:firstLine="408"/>
        <w:spacing w:after="0" w:line="254" w:lineRule="auto"/>
        <w:tabs>
          <w:tab w:leader="none" w:pos="80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Mandatory Closings at Company’s Election</w:t>
      </w:r>
      <w:r>
        <w:rPr>
          <w:rFonts w:ascii="Times New Roman" w:cs="Times New Roman" w:eastAsia="Times New Roman" w:hAnsi="Times New Roman"/>
          <w:sz w:val="18"/>
          <w:szCs w:val="18"/>
          <w:color w:val="auto"/>
        </w:rPr>
        <w:t>. Subject to the satisfaction (or waiver) of the conditions to closing set forth in this Section 1(b)(ii)(B) and the Additional Closing Conditions and only to the extent no Equity Conditions Failure (as defined in the Notes) then exists, at any time on or after the latest to occur of (x) the Effective Date (as defined in the Registration Rights Agreement) of such applicable Registration Statement (as defined in the Registration Rights Agreement) registering the resale of the Required Registration Amount (as defined in the Registration Rights Agreement) of Registrable Securities issued or issuable pursuant to the Notes,</w:t>
      </w:r>
    </w:p>
    <w:p>
      <w:pPr>
        <w:spacing w:after="0" w:line="3" w:lineRule="exact"/>
        <w:rPr>
          <w:rFonts w:ascii="Times New Roman" w:cs="Times New Roman" w:eastAsia="Times New Roman" w:hAnsi="Times New Roman"/>
          <w:sz w:val="18"/>
          <w:szCs w:val="18"/>
          <w:color w:val="auto"/>
        </w:rPr>
      </w:pPr>
    </w:p>
    <w:p>
      <w:pPr>
        <w:ind w:left="121" w:right="80" w:firstLine="7"/>
        <w:spacing w:after="0" w:line="252" w:lineRule="auto"/>
        <w:tabs>
          <w:tab w:leader="none" w:pos="3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Approval Date (as defined below), and (z) the Shoe Sale Closing Time (as defined in the Notes), the Company shall have the right to require each Buyer to purchase at such Additional Closing (such Additional Closing, the “</w:t>
      </w:r>
      <w:r>
        <w:rPr>
          <w:rFonts w:ascii="Times New Roman" w:cs="Times New Roman" w:eastAsia="Times New Roman" w:hAnsi="Times New Roman"/>
          <w:sz w:val="18"/>
          <w:szCs w:val="18"/>
          <w:b w:val="1"/>
          <w:bCs w:val="1"/>
          <w:color w:val="auto"/>
        </w:rPr>
        <w:t>Additional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of such Additional Mandatory Closing, the “</w:t>
      </w:r>
      <w:r>
        <w:rPr>
          <w:rFonts w:ascii="Times New Roman" w:cs="Times New Roman" w:eastAsia="Times New Roman" w:hAnsi="Times New Roman"/>
          <w:sz w:val="18"/>
          <w:szCs w:val="18"/>
          <w:b w:val="1"/>
          <w:bCs w:val="1"/>
          <w:color w:val="auto"/>
        </w:rPr>
        <w:t>Additional Mandatory Closing Date</w:t>
      </w:r>
      <w:r>
        <w:rPr>
          <w:rFonts w:ascii="Times New Roman" w:cs="Times New Roman" w:eastAsia="Times New Roman" w:hAnsi="Times New Roman"/>
          <w:sz w:val="18"/>
          <w:szCs w:val="18"/>
          <w:color w:val="auto"/>
        </w:rPr>
        <w:t>” and together with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Optional Closing Date, each, an “</w:t>
      </w:r>
      <w:r>
        <w:rPr>
          <w:rFonts w:ascii="Times New Roman" w:cs="Times New Roman" w:eastAsia="Times New Roman" w:hAnsi="Times New Roman"/>
          <w:sz w:val="18"/>
          <w:szCs w:val="18"/>
          <w:b w:val="1"/>
          <w:bCs w:val="1"/>
          <w:color w:val="auto"/>
        </w:rPr>
        <w:t>Additional Closing Date</w:t>
      </w:r>
      <w:r>
        <w:rPr>
          <w:rFonts w:ascii="Times New Roman" w:cs="Times New Roman" w:eastAsia="Times New Roman" w:hAnsi="Times New Roman"/>
          <w:sz w:val="18"/>
          <w:szCs w:val="18"/>
          <w:color w:val="auto"/>
        </w:rPr>
        <w:t>”, and together with the Initial Closing Date, each,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up to such maximum aggregate principal amount of Additional Notes equal to the amount as set forth opposite such Buyer’s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column (4)</w:t>
      </w:r>
    </w:p>
    <w:p>
      <w:pPr>
        <w:spacing w:after="0" w:line="122"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41"/>
          </w:cols>
          <w:pgMar w:left="1299" w:top="270" w:right="459" w:bottom="1440" w:gutter="0" w:footer="0" w:header="0"/>
        </w:sectPr>
      </w:pPr>
    </w:p>
    <w:bookmarkStart w:id="11" w:name="page12"/>
    <w:bookmarkEnd w:id="11"/>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Schedule of Buyers (less any aggregate principal amount of Additional Notes issued in any Additional Optional Closing on or prior to such date of determination)(each, an “</w:t>
      </w:r>
      <w:r>
        <w:rPr>
          <w:rFonts w:ascii="Times New Roman" w:cs="Times New Roman" w:eastAsia="Times New Roman" w:hAnsi="Times New Roman"/>
          <w:sz w:val="18"/>
          <w:szCs w:val="18"/>
          <w:b w:val="1"/>
          <w:bCs w:val="1"/>
          <w:color w:val="auto"/>
        </w:rPr>
        <w:t>Additional Mandatory Closing Maximum Amount</w:t>
      </w:r>
      <w:r>
        <w:rPr>
          <w:rFonts w:ascii="Times New Roman" w:cs="Times New Roman" w:eastAsia="Times New Roman" w:hAnsi="Times New Roman"/>
          <w:sz w:val="18"/>
          <w:szCs w:val="18"/>
          <w:color w:val="auto"/>
        </w:rPr>
        <w:t>”) by delivering a written notice by e-mail and overnight courier to each Buyer (each, an “</w:t>
      </w:r>
      <w:r>
        <w:rPr>
          <w:rFonts w:ascii="Times New Roman" w:cs="Times New Roman" w:eastAsia="Times New Roman" w:hAnsi="Times New Roman"/>
          <w:sz w:val="18"/>
          <w:szCs w:val="18"/>
          <w:b w:val="1"/>
          <w:bCs w:val="1"/>
          <w:color w:val="auto"/>
        </w:rPr>
        <w:t>Additional Mandatory Closing Notice</w:t>
      </w:r>
      <w:r>
        <w:rPr>
          <w:rFonts w:ascii="Times New Roman" w:cs="Times New Roman" w:eastAsia="Times New Roman" w:hAnsi="Times New Roman"/>
          <w:sz w:val="18"/>
          <w:szCs w:val="18"/>
          <w:color w:val="auto"/>
        </w:rPr>
        <w:t>”, and together with each Additional Optional Closing Notice, each, an “</w:t>
      </w:r>
      <w:r>
        <w:rPr>
          <w:rFonts w:ascii="Times New Roman" w:cs="Times New Roman" w:eastAsia="Times New Roman" w:hAnsi="Times New Roman"/>
          <w:sz w:val="18"/>
          <w:szCs w:val="18"/>
          <w:b w:val="1"/>
          <w:bCs w:val="1"/>
          <w:color w:val="auto"/>
        </w:rPr>
        <w:t>Additional Closing Notice</w:t>
      </w:r>
      <w:r>
        <w:rPr>
          <w:rFonts w:ascii="Times New Roman" w:cs="Times New Roman" w:eastAsia="Times New Roman" w:hAnsi="Times New Roman"/>
          <w:sz w:val="18"/>
          <w:szCs w:val="18"/>
          <w:color w:val="auto"/>
        </w:rPr>
        <w:t xml:space="preserve">”, and the date of such Additional Mandatory Closing Notice, each, a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Mandatory Closing Notice Date</w:t>
      </w:r>
      <w:r>
        <w:rPr>
          <w:rFonts w:ascii="Times New Roman" w:cs="Times New Roman" w:eastAsia="Times New Roman" w:hAnsi="Times New Roman"/>
          <w:sz w:val="18"/>
          <w:szCs w:val="18"/>
          <w:color w:val="auto"/>
        </w:rPr>
        <w:t>”, and together with each Additional Optional Closing Notice Date, each, an “</w:t>
      </w:r>
      <w:r>
        <w:rPr>
          <w:rFonts w:ascii="Times New Roman" w:cs="Times New Roman" w:eastAsia="Times New Roman" w:hAnsi="Times New Roman"/>
          <w:sz w:val="18"/>
          <w:szCs w:val="18"/>
          <w:b w:val="1"/>
          <w:bCs w:val="1"/>
          <w:color w:val="auto"/>
        </w:rPr>
        <w:t>Additional Closing Notice Date”</w:t>
      </w:r>
      <w:r>
        <w:rPr>
          <w:rFonts w:ascii="Times New Roman" w:cs="Times New Roman" w:eastAsia="Times New Roman" w:hAnsi="Times New Roman"/>
          <w:sz w:val="18"/>
          <w:szCs w:val="18"/>
          <w:color w:val="auto"/>
        </w:rPr>
        <w:t>). Notwithstanding the foregoing, any Trading Day period above shall be extended by the number of Trading Days during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and any extension thereof contemplated by this provision on which any Buyer is restricted from trading due to such Buyer’s possession of material non-public information of the Company and/or any of its Subsidiaries. Each Additional Mandatory Closing Notice shall be irrevocable. Each Additional Mandatory Closing Notice shall (x) certify that no Event of Default (as defined in the Notes) then exists and, other than with respect to deliverables to be delivered to each Buyer at the Additional Mandatory Closing, all the conditions to closing set forth in this Section 1(b)(ii)(B) and the Additional Closing Conditions have been satisfied in full as of such applicable Additional Mandatory Closing Notice Date, (y) specify the proposed Additional Mandatory Closing Date (which shall be no less than one</w:t>
      </w:r>
    </w:p>
    <w:p>
      <w:pPr>
        <w:spacing w:after="0" w:line="2" w:lineRule="exact"/>
        <w:rPr>
          <w:sz w:val="20"/>
          <w:szCs w:val="20"/>
          <w:color w:val="auto"/>
        </w:rPr>
      </w:pPr>
    </w:p>
    <w:p>
      <w:pPr>
        <w:ind w:left="980" w:right="140" w:firstLine="7"/>
        <w:spacing w:after="0" w:line="250" w:lineRule="auto"/>
        <w:tabs>
          <w:tab w:leader="none" w:pos="12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nor more than twenty (20) Business Days after such Additional Mandatory Closing Notice Date, subject to the right of each Buyer, by written notice to the Company, to accelerate such applicable Additional Closing Date to an earlier date, not less than one</w:t>
      </w:r>
    </w:p>
    <w:p>
      <w:pPr>
        <w:ind w:left="980" w:right="20" w:firstLine="7"/>
        <w:spacing w:after="0" w:line="251" w:lineRule="auto"/>
        <w:tabs>
          <w:tab w:leader="none" w:pos="12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such applicable Additional Mandatory Closing Notice Date (or such other date as such Buyer and the Company shall mutually agree)), and (z) specify the aggregate principal amount of Additional Notes to be purchased by each Buyer at the Additional Mandatory Closing, which shall not exceed the individual or aggregate, as applicable, Additional Mandatory Closing Maximum Amount of such applicable Buyer (or such other amount as the Company and such Buyer shall mutually agree). For the avoidance of doubt, the Company shall not be entitled to effect the Additional Mandatory Closing if on the Additional Mandatory Closing Date there is an Event of Default or if the Company fails to satisfy any of the other conditions to closing herein (unless waived in writing by the applicable Buyer participating in the Additional Mandatory Closing). The Company’s rights to effect the Additional Mandatory Closing hereunder shall terminate upon the Additional Closing Expiration Date.</w:t>
      </w:r>
    </w:p>
    <w:p>
      <w:pPr>
        <w:spacing w:after="0" w:line="189" w:lineRule="exact"/>
        <w:rPr>
          <w:rFonts w:ascii="Times New Roman" w:cs="Times New Roman" w:eastAsia="Times New Roman" w:hAnsi="Times New Roman"/>
          <w:sz w:val="18"/>
          <w:szCs w:val="18"/>
          <w:color w:val="auto"/>
        </w:rPr>
      </w:pPr>
    </w:p>
    <w:p>
      <w:pPr>
        <w:ind w:right="120" w:firstLine="436"/>
        <w:spacing w:after="0" w:line="257"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Initial Notes to be purchased by each Buyer (the “</w:t>
      </w:r>
      <w:r>
        <w:rPr>
          <w:rFonts w:ascii="Times New Roman" w:cs="Times New Roman" w:eastAsia="Times New Roman" w:hAnsi="Times New Roman"/>
          <w:sz w:val="18"/>
          <w:szCs w:val="18"/>
          <w:b w:val="1"/>
          <w:bCs w:val="1"/>
          <w:color w:val="auto"/>
        </w:rPr>
        <w:t>Initial Purchase Price</w:t>
      </w:r>
      <w:r>
        <w:rPr>
          <w:rFonts w:ascii="Times New Roman" w:cs="Times New Roman" w:eastAsia="Times New Roman" w:hAnsi="Times New Roman"/>
          <w:sz w:val="18"/>
          <w:szCs w:val="18"/>
          <w:color w:val="auto"/>
        </w:rPr>
        <w:t>”) shall be the amount set forth opposite such Buyer’s name in column (6) on the Schedule of Buyers. The aggregate purchase price for the Additional Notes to be purchased by each Buyer at any given Additional Closing (each, an “</w:t>
      </w:r>
      <w:r>
        <w:rPr>
          <w:rFonts w:ascii="Times New Roman" w:cs="Times New Roman" w:eastAsia="Times New Roman" w:hAnsi="Times New Roman"/>
          <w:sz w:val="18"/>
          <w:szCs w:val="18"/>
          <w:b w:val="1"/>
          <w:bCs w:val="1"/>
          <w:color w:val="auto"/>
        </w:rPr>
        <w:t>Additional Purchase Price</w:t>
      </w:r>
      <w:r>
        <w:rPr>
          <w:rFonts w:ascii="Times New Roman" w:cs="Times New Roman" w:eastAsia="Times New Roman" w:hAnsi="Times New Roman"/>
          <w:sz w:val="18"/>
          <w:szCs w:val="18"/>
          <w:color w:val="auto"/>
        </w:rPr>
        <w:t>”, and together with the Initial Purchase Price, each, a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together with the Additional Purchase Price of each prior Additional Closing, shall not exceed the aggregate amount set forth opposite such Buyer’s name in column (7) of the Schedule of Buyers. The aggregate purchase price for the Notes to be purchased by each Buyer at any given Closing shall be $950 for each $1,000 of aggregate principal amount of Notes.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2" w:name="page13"/>
    <w:bookmarkEnd w:id="12"/>
    <w:p>
      <w:pPr>
        <w:ind w:left="704" w:hanging="264"/>
        <w:spacing w:after="0"/>
        <w:tabs>
          <w:tab w:leader="none" w:pos="7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Payment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58" w:lineRule="auto"/>
        <w:tabs>
          <w:tab w:leader="none" w:pos="108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On the Initial Closing Date, (i) each Buyer shall pay its respective Initial Purchase Price (less, in the case of any Buyer, the amounts withheld pursuant to Section 4(g)) to the Company for the Initial Notes to be issued and sold to such Buyer at the Initial Closing, by wire transfer of immediately available funds in accordance with the Initial Flow of Funds Letter (as defined below) and (ii) the Company shall deliver to each Buyer an Initial Note in the aggregate original principal amount as is set forth opposite such Buyer’s name in column (3) of the Schedule of Buyers, in each case, duly executed on behalf of the Company and registered in the name of such Buyer or its designee.</w:t>
      </w:r>
    </w:p>
    <w:p>
      <w:pPr>
        <w:spacing w:after="0" w:line="75" w:lineRule="exact"/>
        <w:rPr>
          <w:rFonts w:ascii="Times New Roman" w:cs="Times New Roman" w:eastAsia="Times New Roman" w:hAnsi="Times New Roman"/>
          <w:sz w:val="18"/>
          <w:szCs w:val="18"/>
          <w:color w:val="auto"/>
        </w:rPr>
      </w:pPr>
    </w:p>
    <w:p>
      <w:pPr>
        <w:ind w:left="444" w:right="20" w:firstLine="419"/>
        <w:spacing w:after="0" w:line="256" w:lineRule="auto"/>
        <w:tabs>
          <w:tab w:leader="none" w:pos="113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Closing</w:t>
      </w:r>
      <w:r>
        <w:rPr>
          <w:rFonts w:ascii="Times New Roman" w:cs="Times New Roman" w:eastAsia="Times New Roman" w:hAnsi="Times New Roman"/>
          <w:sz w:val="18"/>
          <w:szCs w:val="18"/>
          <w:color w:val="auto"/>
        </w:rPr>
        <w:t>. On each Additional Closing Date, (i) each Buyer shall pay its respective applicable Additional Purchase Price for such Additional Closing (less, in the case of any Buyer, the amounts withheld pursuant to Section 4(g)) to the Company for the Additional Notes to be issued and sold to such Buyer at each Additional Closing, by wire transfer of immediately available funds in accordance with the applicable Additional Flow of Funds Letter (as defined below) and (ii) the Company shall deliver to each Buyer an Additional Note in the aggregate original principal amount as is set forth in the applicable Additional Closing Notice to be issued to such Buyer, duly executed on behalf of the Company and registered in the name of such Buyer or its designee.</w:t>
      </w:r>
    </w:p>
    <w:p>
      <w:pPr>
        <w:spacing w:after="0" w:line="187"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Each party hereto acknowledges that the Initial Notes and the Additional Notes shall be part of a single series of notes and shall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each other.</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Buyer, severally and not jointly, represents and warrants to the Company with respect to only itself that, as of the date hereof and as of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Date:</w:t>
      </w:r>
    </w:p>
    <w:p>
      <w:pPr>
        <w:spacing w:after="0" w:line="99" w:lineRule="exact"/>
        <w:rPr>
          <w:sz w:val="20"/>
          <w:szCs w:val="20"/>
          <w:color w:val="auto"/>
        </w:rPr>
      </w:pPr>
    </w:p>
    <w:p>
      <w:pPr>
        <w:ind w:left="4" w:right="80" w:firstLine="436"/>
        <w:spacing w:after="0" w:line="266"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Such Buyer (i) is acquiring its Note, and (ii) upon conversion of its Note will acquire the Conversion Shares issuable upon conversion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(as defined below) or any department or agency thereof.</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13" w:name="page14"/>
    <w:bookmarkEnd w:id="13"/>
    <w:p>
      <w:pPr>
        <w:ind w:left="660" w:hanging="2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Accredited Investor Status</w:t>
      </w:r>
      <w:r>
        <w:rPr>
          <w:rFonts w:ascii="Times New Roman" w:cs="Times New Roman" w:eastAsia="Times New Roman" w:hAnsi="Times New Roman"/>
          <w:sz w:val="18"/>
          <w:szCs w:val="18"/>
          <w:color w:val="auto"/>
        </w:rPr>
        <w:t>. Such Buyer is an “accredited investor” as that term is defined in Rule 501(a) of Regulation D.</w:t>
      </w:r>
    </w:p>
    <w:p>
      <w:pPr>
        <w:spacing w:after="0" w:line="225" w:lineRule="exact"/>
        <w:rPr>
          <w:rFonts w:ascii="Times New Roman" w:cs="Times New Roman" w:eastAsia="Times New Roman" w:hAnsi="Times New Roman"/>
          <w:sz w:val="18"/>
          <w:szCs w:val="18"/>
          <w:color w:val="auto"/>
        </w:rPr>
      </w:pPr>
    </w:p>
    <w:p>
      <w:pPr>
        <w:jc w:val="both"/>
        <w:ind w:left="-20" w:right="100" w:firstLine="436"/>
        <w:spacing w:after="0" w:line="261"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ind w:left="-20" w:right="40" w:firstLine="436"/>
        <w:spacing w:after="0" w:line="274" w:lineRule="auto"/>
        <w:tabs>
          <w:tab w:leader="none" w:pos="66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spacing w:after="0" w:line="172" w:lineRule="exact"/>
        <w:rPr>
          <w:rFonts w:ascii="Times New Roman" w:cs="Times New Roman" w:eastAsia="Times New Roman" w:hAnsi="Times New Roman"/>
          <w:sz w:val="17"/>
          <w:szCs w:val="17"/>
          <w:color w:val="auto"/>
        </w:rPr>
      </w:pPr>
    </w:p>
    <w:p>
      <w:pPr>
        <w:ind w:left="-20" w:right="80" w:firstLine="436"/>
        <w:spacing w:after="0" w:line="266" w:lineRule="auto"/>
        <w:tabs>
          <w:tab w:leader="none" w:pos="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Such Buyer understands that except as provided in the Registration Rights Agreement and Section 4(h) hereof: (i) the resale of the Securities have not been and are not being registered under the 1933 Act or any state securities laws, and may not be offered for sale, sold, assigned or transferred unless (A) the Securities are subsequently registered for resale pursuant to an effective registration statement,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4" w:name="page15"/>
    <w:bookmarkEnd w:id="1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2(g).</w:t>
      </w:r>
    </w:p>
    <w:p>
      <w:pPr>
        <w:spacing w:after="0" w:line="187" w:lineRule="exact"/>
        <w:rPr>
          <w:sz w:val="20"/>
          <w:szCs w:val="20"/>
          <w:color w:val="auto"/>
        </w:rPr>
      </w:pPr>
    </w:p>
    <w:p>
      <w:pPr>
        <w:ind w:right="140" w:firstLine="436"/>
        <w:spacing w:after="0" w:line="25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and each of the Transaction Documents to which such Buyer is a party has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each of the Transaction Documents to which such Buyer is a party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91" w:lineRule="exact"/>
        <w:rPr>
          <w:rFonts w:ascii="Times New Roman" w:cs="Times New Roman" w:eastAsia="Times New Roman" w:hAnsi="Times New Roman"/>
          <w:sz w:val="18"/>
          <w:szCs w:val="18"/>
          <w:color w:val="auto"/>
        </w:rPr>
      </w:pPr>
    </w:p>
    <w:p>
      <w:pPr>
        <w:ind w:right="340" w:firstLine="436"/>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Group</w:t>
      </w:r>
      <w:r>
        <w:rPr>
          <w:rFonts w:ascii="Times New Roman" w:cs="Times New Roman" w:eastAsia="Times New Roman" w:hAnsi="Times New Roman"/>
          <w:sz w:val="18"/>
          <w:szCs w:val="18"/>
          <w:color w:val="auto"/>
        </w:rPr>
        <w:t>. Other than affiliates of such Buyer who are also Buyers under this Agreement, such Buyer is not under common control with or acting in concert with any other Buyer and is not part of a “group” for purposes of the 1934 Act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Such Buyer is a resident of (or formed under the laws of, applicable) that jurisdiction specified below its address on the 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-596900</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REPRESENTATIONS AND WARRANTIES OF THE COMPANY.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represents and warrants to each of the Buyers that, as of the date hereof and as of each Closing Date:</w:t>
      </w:r>
    </w:p>
    <w:p>
      <w:pPr>
        <w:spacing w:after="0" w:line="117" w:lineRule="exact"/>
        <w:rPr>
          <w:sz w:val="20"/>
          <w:szCs w:val="20"/>
          <w:color w:val="auto"/>
        </w:rPr>
      </w:pPr>
    </w:p>
    <w:p>
      <w:pPr>
        <w:ind w:left="4" w:right="20" w:firstLine="436"/>
        <w:spacing w:after="0" w:line="267" w:lineRule="auto"/>
        <w:tabs>
          <w:tab w:leader="none" w:pos="68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any material adverse effect on (i) the business, properties, assets, liabilities, operations (including results thereof), condition (financial or otherwise) or prospects (other than with respect to prospects in connection with Shoe Business Sale) of the Company or any Subsidiary, individually or taken as a whole, (ii) the transactions contemplated hereby or in any of the other Transaction Documents or any other agreements or instruments to be entered into in connection herewith or therewith or</w:t>
      </w:r>
    </w:p>
    <w:p>
      <w:pPr>
        <w:spacing w:after="0" w:line="5" w:lineRule="exact"/>
        <w:rPr>
          <w:rFonts w:ascii="Times New Roman" w:cs="Times New Roman" w:eastAsia="Times New Roman" w:hAnsi="Times New Roman"/>
          <w:sz w:val="17"/>
          <w:szCs w:val="17"/>
          <w:color w:val="auto"/>
        </w:rPr>
      </w:pPr>
    </w:p>
    <w:p>
      <w:pPr>
        <w:ind w:left="4" w:right="40" w:hanging="4"/>
        <w:spacing w:after="0" w:line="252"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or ability of the Company or any of its Subsidiaries to perform any of their respective obligations under any of the Transaction Documents (as defined below). Other than the Persons (as defined below) set forth on Exhibit 21.1 to the Company’s Annual Report on Form 10-K for the year ended December 31, 2025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which shall be liquidated and dissolved in connection with the Shoe Business Sale, and the New Subsidiary, the Company has no Subsidiaries.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its Subsidiaries, and the consummation by the Company and its Subsidiaries of the transactions contemplated hereby and thereby (including, without limitation, the issuance of the Notes and the reservation for issuance and issuance of the Conversion Shares issuable upon conversion of the Notes) have been duly authorized by the Company’s board of directors and each of its Subsidiaries’ board of directors or other governing body, as applicable, and (other than (i) the filing with the SEC of (A) one or more Registration Statements in accordance with the requirements of the Registration Rights Agreement, (B) a Form D, (C) the 8-K Filing (as defined below), and (D) preliminary and definitive proxy materials for the solicitation of proxies with respect to the Stockholder Approval, (ii) the Stockholder Approval, (iii) the filing of a listing of additional shares application with Nasdaq, and (iv) any other filings as may be required by any state securities agencies (collectively, the “</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 no further filing, consent or authorization is required by the Company, its Subsidiaries, their respective boards of directors or their stockholders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16" w:name="page17"/>
    <w:bookmarkEnd w:id="1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such Closing, the Transaction Documents to which each Subsidiary is a party will be duly executed and delivered by each such Subsidiary, and shall constitute the legal, valid and binding obligations of each such Subsidiary, enforceable against each such Subsidiary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Notes, the Administrative Fee Letter (as defined below), the Security Documents, the Guaranty, the Registration Rights Agreement, the Support Agreements (as defined below),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188" w:lineRule="exact"/>
        <w:rPr>
          <w:sz w:val="20"/>
          <w:szCs w:val="20"/>
          <w:color w:val="auto"/>
        </w:rPr>
      </w:pPr>
    </w:p>
    <w:p>
      <w:pPr>
        <w:ind w:left="4" w:right="20" w:firstLine="436"/>
        <w:spacing w:after="0" w:line="254"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Notes are duly authorized and upon issuance and payment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with respect to the issuance thereof. As of each Closing, the Company shall have reserved from its duly authorized capital stock not less than the Required Reserve Amount (as defined below). Upon issuance or conversion in accordance with the Notes, the Conversion Shares,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w:t>
      </w:r>
    </w:p>
    <w:p>
      <w:pPr>
        <w:spacing w:after="0" w:line="191" w:lineRule="exact"/>
        <w:rPr>
          <w:rFonts w:ascii="Times New Roman" w:cs="Times New Roman" w:eastAsia="Times New Roman" w:hAnsi="Times New Roman"/>
          <w:sz w:val="18"/>
          <w:szCs w:val="18"/>
          <w:color w:val="auto"/>
        </w:rPr>
      </w:pPr>
    </w:p>
    <w:p>
      <w:pPr>
        <w:ind w:left="4" w:right="200" w:firstLine="436"/>
        <w:spacing w:after="0" w:line="272" w:lineRule="auto"/>
        <w:tabs>
          <w:tab w:leader="none" w:pos="69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After giving effect to the Required Approvals, the execution, delivery and performance of the Transaction Documents by the Company and its Subsidiaries and the consummation by the Company and its Subsidiaries of the transactions contemplated hereby and thereby (including, without limitation, the issuance of the Notes and the Conversion Shares and the reservation for issuance of the Conversion Shares) will not</w:t>
      </w:r>
    </w:p>
    <w:p>
      <w:pPr>
        <w:spacing w:after="0" w:line="1" w:lineRule="exact"/>
        <w:rPr>
          <w:rFonts w:ascii="Times New Roman" w:cs="Times New Roman" w:eastAsia="Times New Roman" w:hAnsi="Times New Roman"/>
          <w:sz w:val="17"/>
          <w:szCs w:val="17"/>
          <w:color w:val="auto"/>
        </w:rPr>
      </w:pPr>
    </w:p>
    <w:p>
      <w:pPr>
        <w:ind w:left="4" w:right="80" w:hanging="4"/>
        <w:spacing w:after="0" w:line="251"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except as set forth on </w:t>
      </w:r>
      <w:r>
        <w:rPr>
          <w:rFonts w:ascii="Times New Roman" w:cs="Times New Roman" w:eastAsia="Times New Roman" w:hAnsi="Times New Roman"/>
          <w:sz w:val="18"/>
          <w:szCs w:val="18"/>
          <w:u w:val="single" w:color="auto"/>
          <w:color w:val="auto"/>
        </w:rPr>
        <w:t>Schedule 3(d)</w:t>
      </w:r>
      <w:r>
        <w:rPr>
          <w:rFonts w:ascii="Times New Roman" w:cs="Times New Roman" w:eastAsia="Times New Roman" w:hAnsi="Times New Roman"/>
          <w:sz w:val="18"/>
          <w:szCs w:val="18"/>
          <w:color w:val="auto"/>
        </w:rPr>
        <w:t xml:space="preserve">,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Global Select Market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Market</w:t>
      </w:r>
      <w:r>
        <w:rPr>
          <w:rFonts w:ascii="Times New Roman" w:cs="Times New Roman" w:eastAsia="Times New Roman" w:hAnsi="Times New Roman"/>
          <w:sz w:val="18"/>
          <w:szCs w:val="18"/>
          <w:color w:val="auto"/>
        </w:rPr>
        <w:t>”) and including all applicable foreign, federal and state laws, rules and regulations) applicable to the Company or any of its Subsidiaries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any property or asset of the Company or any of its Subsidiaries is bound or affected.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7" w:name="page18"/>
    <w:bookmarkEnd w:id="17"/>
    <w:p>
      <w:pPr>
        <w:ind w:firstLine="436"/>
        <w:spacing w:after="0" w:line="253"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3(e)</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Required 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(other than the Required Approvals),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(including, without limitation, the Required Consents) have been or will be obtained or effected on or prior to the applicable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87" w:lineRule="exact"/>
        <w:rPr>
          <w:rFonts w:ascii="Times New Roman" w:cs="Times New Roman" w:eastAsia="Times New Roman" w:hAnsi="Times New Roman"/>
          <w:sz w:val="18"/>
          <w:szCs w:val="18"/>
          <w:color w:val="auto"/>
        </w:rPr>
      </w:pPr>
    </w:p>
    <w:p>
      <w:pPr>
        <w:ind w:right="80" w:firstLine="436"/>
        <w:spacing w:after="0" w:line="253" w:lineRule="auto"/>
        <w:tabs>
          <w:tab w:leader="none" w:pos="6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an “affiliate” (as defined in Rule 144) of the Company or any of its Subsidiaries or (iii) to its knowledge, a “beneficial owner” of more than 10% of the shares of Common Stock (as defined for purposes of 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spacing w:after="0" w:line="194"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Placement Agent’s Fees</w:t>
      </w:r>
      <w:r>
        <w:rPr>
          <w:rFonts w:ascii="Times New Roman" w:cs="Times New Roman" w:eastAsia="Times New Roman" w:hAnsi="Times New Roman"/>
          <w:sz w:val="18"/>
          <w:szCs w:val="18"/>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placement agent fees payable to Chardan Capital Markets, LLC, as placement agent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in connection 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8" w:name="page19"/>
    <w:bookmarkEnd w:id="18"/>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sale of the Securities. The fees and expenses of the Placement Agent to be paid by the Company or any of its Subsidiaries are as set forth on </w:t>
      </w:r>
      <w:r>
        <w:rPr>
          <w:rFonts w:ascii="Times New Roman" w:cs="Times New Roman" w:eastAsia="Times New Roman" w:hAnsi="Times New Roman"/>
          <w:sz w:val="18"/>
          <w:szCs w:val="18"/>
          <w:u w:val="single" w:color="auto"/>
          <w:color w:val="auto"/>
        </w:rPr>
        <w:t>Schedule 3(g)</w:t>
      </w:r>
      <w:r>
        <w:rPr>
          <w:rFonts w:ascii="Times New Roman" w:cs="Times New Roman" w:eastAsia="Times New Roman" w:hAnsi="Times New Roman"/>
          <w:sz w:val="18"/>
          <w:szCs w:val="18"/>
          <w:color w:val="auto"/>
        </w:rPr>
        <w:t xml:space="preserve"> attached hereto. The Company shall pay, and hold each Buyer harmless against, any liability, loss or expense (including, without limitation, attorney’s fees and out-of-pocket expenses) arising in connection with any such claim. The Company acknowledges that it has engaged the Placement Agent in connection with the sale of the Securities. Other than the Placement Agent, neither the Company nor any of its Subsidiaries has engaged any placement agent or other agent in connection with the offer or sale of the Securities.</w:t>
      </w:r>
    </w:p>
    <w:p>
      <w:pPr>
        <w:spacing w:after="0" w:line="183" w:lineRule="exact"/>
        <w:rPr>
          <w:sz w:val="20"/>
          <w:szCs w:val="20"/>
          <w:color w:val="auto"/>
        </w:rPr>
      </w:pPr>
    </w:p>
    <w:p>
      <w:pPr>
        <w:ind w:firstLine="436"/>
        <w:spacing w:after="0" w:line="254"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for purposes of the 1933 Act or under any applicable stockholder approval provisions, including, without limitation, under the rules and regulations of the Principal Market or any other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that its obligation to issue the Conversion Shares pursuant to the terms of the Notes in accordance with this Agreement and the Notes is, in each case, absolute and unconditional regardless of the dilutive effect that such issuance may have on the ownership interests of other stockholders of the Company.</w:t>
      </w:r>
    </w:p>
    <w:p>
      <w:pPr>
        <w:spacing w:after="0" w:line="179" w:lineRule="exact"/>
        <w:rPr>
          <w:rFonts w:ascii="Times New Roman" w:cs="Times New Roman" w:eastAsia="Times New Roman" w:hAnsi="Times New Roman"/>
          <w:sz w:val="18"/>
          <w:szCs w:val="18"/>
          <w:color w:val="auto"/>
        </w:rPr>
      </w:pPr>
    </w:p>
    <w:p>
      <w:pPr>
        <w:ind w:right="100" w:firstLine="436"/>
        <w:spacing w:after="0" w:line="25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191"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9" w:name="page20"/>
    <w:bookmarkEnd w:id="19"/>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financial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88" w:lineRule="exact"/>
        <w:rPr>
          <w:sz w:val="20"/>
          <w:szCs w:val="20"/>
          <w:color w:val="auto"/>
        </w:rPr>
      </w:pPr>
    </w:p>
    <w:p>
      <w:pPr>
        <w:ind w:left="4" w:right="60" w:firstLine="436"/>
        <w:spacing w:after="0" w:line="254" w:lineRule="auto"/>
        <w:tabs>
          <w:tab w:leader="none" w:pos="6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(other than with respect to prospects in connection with Shoe Business Sale) of the Company or any of its Subsidiaries. Since the date of the Company’s most recent audited financial statements contained in a Form 10-K, or as disclosed in the proxy statement filed by the Company on April 15, 2026 (the “</w:t>
      </w:r>
      <w:r>
        <w:rPr>
          <w:rFonts w:ascii="Times New Roman" w:cs="Times New Roman" w:eastAsia="Times New Roman" w:hAnsi="Times New Roman"/>
          <w:sz w:val="18"/>
          <w:szCs w:val="18"/>
          <w:b w:val="1"/>
          <w:bCs w:val="1"/>
          <w:color w:val="auto"/>
        </w:rPr>
        <w:t>Preliminary Proxy Statement</w:t>
      </w:r>
      <w:r>
        <w:rPr>
          <w:rFonts w:ascii="Times New Roman" w:cs="Times New Roman" w:eastAsia="Times New Roman" w:hAnsi="Times New Roman"/>
          <w:sz w:val="18"/>
          <w:szCs w:val="18"/>
          <w:color w:val="auto"/>
        </w:rPr>
        <w:t>”), neither the Company nor any of its Subsidiaries has</w:t>
      </w:r>
    </w:p>
    <w:p>
      <w:pPr>
        <w:spacing w:after="0" w:line="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or paid any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such Closing, will not be Insolvent (as defined below). For purposes of this Section 3(l),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192" w:lineRule="exact"/>
        <w:rPr>
          <w:sz w:val="20"/>
          <w:szCs w:val="20"/>
          <w:color w:val="auto"/>
        </w:rPr>
      </w:pPr>
    </w:p>
    <w:p>
      <w:pPr>
        <w:ind w:right="340" w:firstLine="436"/>
        <w:spacing w:after="0" w:line="256" w:lineRule="auto"/>
        <w:tabs>
          <w:tab w:leader="none" w:pos="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Except as disclosed in the Preliminary Proxy Statement,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Buyer’s investment hereunder or (iii) could have a Material Adverse Effect.</w:t>
      </w:r>
    </w:p>
    <w:p>
      <w:pPr>
        <w:spacing w:after="0" w:line="187"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After giving effect to the Required Approvals,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Certificate of Incorporation,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1" w:name="page22"/>
    <w:bookmarkEnd w:id="21"/>
    <w:p>
      <w:pPr>
        <w:ind w:left="4"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 (ii) trading in the Common Stock has not been suspended by the SEC or the Principal Market and</w:t>
      </w:r>
    </w:p>
    <w:p>
      <w:pPr>
        <w:spacing w:after="0" w:line="3" w:lineRule="exact"/>
        <w:rPr>
          <w:sz w:val="20"/>
          <w:szCs w:val="20"/>
          <w:color w:val="auto"/>
        </w:rPr>
      </w:pPr>
    </w:p>
    <w:p>
      <w:pPr>
        <w:ind w:left="4" w:right="20" w:hanging="4"/>
        <w:spacing w:after="0" w:line="251" w:lineRule="auto"/>
        <w:tabs>
          <w:tab w:leader="none" w:pos="3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received no communication, written or oral, from the SEC or the Principal Market regarding the suspension or delisting of the Common Stock from the Principal Market, except as disclosed in the SEC Documents.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Other than as set forth on </w:t>
      </w:r>
      <w:r>
        <w:rPr>
          <w:rFonts w:ascii="Times New Roman" w:cs="Times New Roman" w:eastAsia="Times New Roman" w:hAnsi="Times New Roman"/>
          <w:sz w:val="18"/>
          <w:szCs w:val="18"/>
          <w:u w:val="single" w:color="auto"/>
          <w:color w:val="auto"/>
        </w:rPr>
        <w:t>Schedule 3(n)</w:t>
      </w:r>
      <w:r>
        <w:rPr>
          <w:rFonts w:ascii="Times New Roman" w:cs="Times New Roman" w:eastAsia="Times New Roman" w:hAnsi="Times New Roman"/>
          <w:sz w:val="18"/>
          <w:szCs w:val="18"/>
          <w:color w:val="auto"/>
        </w:rPr>
        <w: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92"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the Company’s subsidiary or any director, officer, agent, employee, nor any other person acting for or on behalf of the foregoing (individually and collectively,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have violated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83" w:lineRule="exact"/>
        <w:rPr>
          <w:rFonts w:ascii="Times New Roman" w:cs="Times New Roman" w:eastAsia="Times New Roman" w:hAnsi="Times New Roman"/>
          <w:sz w:val="18"/>
          <w:szCs w:val="18"/>
          <w:color w:val="auto"/>
        </w:rPr>
      </w:pPr>
    </w:p>
    <w:p>
      <w:pPr>
        <w:ind w:left="444" w:right="300" w:firstLine="948"/>
        <w:spacing w:after="0" w:line="266" w:lineRule="auto"/>
        <w:tabs>
          <w:tab w:leader="none" w:pos="1611"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6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or its Subsidiaries in obtaining or retaining business for or with, or directing business to, the Company or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2" w:name="page23"/>
    <w:bookmarkEnd w:id="22"/>
    <w:p>
      <w:pPr>
        <w:ind w:left="4" w:right="100" w:firstLine="436"/>
        <w:spacing w:after="0" w:line="282"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61"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Except as disclosed in the Form 10-K under the section titled “Transactions with Related Persons,”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in the Notes)),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w:t>
      </w:r>
    </w:p>
    <w:p>
      <w:pPr>
        <w:spacing w:after="0" w:line="19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4" w:right="60" w:firstLine="408"/>
        <w:spacing w:after="0" w:line="286" w:lineRule="auto"/>
        <w:tabs>
          <w:tab w:leader="none" w:pos="1680"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(x) the Company’s shares of Class A common stock, $0.0001 par value per share, and (y) any capital stock into which such common stock shall have been changed or any share capital resulting from a reclassification of such common stock.</w:t>
      </w:r>
    </w:p>
    <w:p>
      <w:pPr>
        <w:spacing w:after="0" w:line="46" w:lineRule="exact"/>
        <w:rPr>
          <w:rFonts w:ascii="Times New Roman" w:cs="Times New Roman" w:eastAsia="Times New Roman" w:hAnsi="Times New Roman"/>
          <w:sz w:val="18"/>
          <w:szCs w:val="18"/>
          <w:color w:val="auto"/>
        </w:rPr>
      </w:pPr>
    </w:p>
    <w:p>
      <w:pPr>
        <w:jc w:val="both"/>
        <w:ind w:left="984" w:firstLine="408"/>
        <w:spacing w:after="0" w:line="262" w:lineRule="auto"/>
        <w:tabs>
          <w:tab w:leader="none" w:pos="1670"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(x) the Company’s blank check preferred stock, $0.0001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3" w:name="page24"/>
    <w:bookmarkEnd w:id="23"/>
    <w:p>
      <w:pPr>
        <w:ind w:left="4" w:right="40" w:firstLine="419"/>
        <w:spacing w:after="0" w:line="253" w:lineRule="auto"/>
        <w:tabs>
          <w:tab w:leader="none" w:pos="6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and Outstanding Capital Stock</w:t>
      </w:r>
      <w:r>
        <w:rPr>
          <w:rFonts w:ascii="Times New Roman" w:cs="Times New Roman" w:eastAsia="Times New Roman" w:hAnsi="Times New Roman"/>
          <w:sz w:val="18"/>
          <w:szCs w:val="18"/>
          <w:color w:val="auto"/>
        </w:rPr>
        <w:t>. As of the date hereof, the authorized capital stock of the Company is 2,220,000,000 shares, consisting of (A) 2,000,000,000 shares of Common Stock, of which, 6,220,796 are issued and outstanding and 5,589,253 shares are reserved for issuance pursuant to Common Stock Equivalents (as defined below) (other than the Notes) exercisable or exchangeable for, or convertible into, shares of Common Stock, (B) 200,000,000 shares of Class B common stock, $0.0001 par value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collectively with the Common Stock, the “</w:t>
      </w:r>
      <w:r>
        <w:rPr>
          <w:rFonts w:ascii="Times New Roman" w:cs="Times New Roman" w:eastAsia="Times New Roman" w:hAnsi="Times New Roman"/>
          <w:sz w:val="18"/>
          <w:szCs w:val="18"/>
          <w:b w:val="1"/>
          <w:bCs w:val="1"/>
          <w:color w:val="auto"/>
        </w:rPr>
        <w:t>Consolidated Common Stock</w:t>
      </w:r>
      <w:r>
        <w:rPr>
          <w:rFonts w:ascii="Times New Roman" w:cs="Times New Roman" w:eastAsia="Times New Roman" w:hAnsi="Times New Roman"/>
          <w:sz w:val="18"/>
          <w:szCs w:val="18"/>
          <w:color w:val="auto"/>
        </w:rPr>
        <w:t>”), of which, 2,540,381 are issued and outstanding and 267,877 shares are reserved for issuance pursuant to Common Stock Equivalents exercisable or exchangeable for, or convertible into, shares of Class B Common Stock, and (C) 0 shares of Preferred Stock. 10,999 shares of Common Stock are held in the treasury of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Equivalents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86" w:lineRule="exact"/>
        <w:rPr>
          <w:rFonts w:ascii="Times New Roman" w:cs="Times New Roman" w:eastAsia="Times New Roman" w:hAnsi="Times New Roman"/>
          <w:sz w:val="18"/>
          <w:szCs w:val="18"/>
          <w:color w:val="auto"/>
        </w:rPr>
      </w:pPr>
    </w:p>
    <w:p>
      <w:pPr>
        <w:ind w:left="4" w:firstLine="419"/>
        <w:spacing w:after="0" w:line="261" w:lineRule="auto"/>
        <w:tabs>
          <w:tab w:leader="none" w:pos="74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 Affiliates</w:t>
      </w:r>
      <w:r>
        <w:rPr>
          <w:rFonts w:ascii="Times New Roman" w:cs="Times New Roman" w:eastAsia="Times New Roman" w:hAnsi="Times New Roman"/>
          <w:sz w:val="18"/>
          <w:szCs w:val="18"/>
          <w:color w:val="auto"/>
        </w:rPr>
        <w:t xml:space="preserve">. All of such outstanding shares are duly authorized and have been, or upon issuance will be, validly issued and are fully paid and nonassessable. </w:t>
      </w:r>
      <w:r>
        <w:rPr>
          <w:rFonts w:ascii="Times New Roman" w:cs="Times New Roman" w:eastAsia="Times New Roman" w:hAnsi="Times New Roman"/>
          <w:sz w:val="18"/>
          <w:szCs w:val="18"/>
          <w:u w:val="single" w:color="auto"/>
          <w:color w:val="auto"/>
        </w:rPr>
        <w:t>Schedule 3(r)(iii)</w:t>
      </w:r>
      <w:r>
        <w:rPr>
          <w:rFonts w:ascii="Times New Roman" w:cs="Times New Roman" w:eastAsia="Times New Roman" w:hAnsi="Times New Roman"/>
          <w:sz w:val="18"/>
          <w:szCs w:val="18"/>
          <w:color w:val="auto"/>
        </w:rPr>
        <w:t xml:space="preserve"> sets forth the number of shares of Consolidated Common Stock that are</w:t>
      </w:r>
    </w:p>
    <w:p>
      <w:pPr>
        <w:ind w:left="4" w:hanging="4"/>
        <w:spacing w:after="0" w:line="251" w:lineRule="auto"/>
        <w:tabs>
          <w:tab w:leader="none" w:pos="2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for issuance pursuant to Common Stock Equivalents (other than the Notes) and (B) that are, as of the date hereof, owned by Persons who are “affiliates” (as defined in Rule 405 of the 1933 Act and calculated based on the assumption that only officers, directors and holders of at least 10% of the Company’s issued and outstanding Consolidated Common Stock are “affiliates” without conceding that any such Persons are “affiliates” for purposes of federal securities laws) of the Company or any of its Subsidiaries. To the Company’s knowledge, no Person owns 10% or more of the Company’s issued and outstanding shares of Consolidated Common Stock (calculated based on the assumption that all Common Stock Equivalents,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85"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7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assets,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w:t>
      </w:r>
    </w:p>
    <w:p>
      <w:pPr>
        <w:spacing w:after="0" w:line="12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24"/>
          </w:cols>
          <w:pgMar w:left="876" w:top="270" w:right="499" w:bottom="1440" w:gutter="0" w:footer="0" w:header="0"/>
        </w:sectPr>
      </w:pPr>
    </w:p>
    <w:bookmarkStart w:id="24" w:name="page25"/>
    <w:bookmarkEnd w:id="24"/>
    <w:p>
      <w:pPr>
        <w:ind w:left="42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which the Company or any of its Subsidiaries is obligated to register the sale of any of their securities under the 1933 Act (except pursuant to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79" w:lineRule="exact"/>
        <w:rPr>
          <w:sz w:val="20"/>
          <w:szCs w:val="20"/>
          <w:color w:val="auto"/>
        </w:rPr>
      </w:pPr>
    </w:p>
    <w:p>
      <w:pPr>
        <w:jc w:val="both"/>
        <w:ind w:left="420" w:right="80" w:firstLine="419"/>
        <w:spacing w:after="0" w:line="261" w:lineRule="auto"/>
        <w:tabs>
          <w:tab w:leader="none" w:pos="109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Buyers true, correct and complete copies of the Company’s Certificate of Incorporation, as amended and as in effect on the date hereof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xml:space="preserve"> ”),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the terms of all Common Stock Equivalents and the material rights of the holders thereof in respect thereto.</w:t>
      </w:r>
    </w:p>
    <w:p>
      <w:pPr>
        <w:spacing w:after="0" w:line="179" w:lineRule="exact"/>
        <w:rPr>
          <w:rFonts w:ascii="Times New Roman" w:cs="Times New Roman" w:eastAsia="Times New Roman" w:hAnsi="Times New Roman"/>
          <w:sz w:val="18"/>
          <w:szCs w:val="18"/>
          <w:color w:val="auto"/>
        </w:rPr>
      </w:pPr>
    </w:p>
    <w:p>
      <w:pPr>
        <w:ind w:left="-20" w:firstLine="436"/>
        <w:spacing w:after="0" w:line="25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xml:space="preserve">. Except for any indebtedness of the Company or its Subsidiaries that shall remain outstanding as of the Shoe Sale Closing Time as set forth on </w:t>
      </w:r>
      <w:r>
        <w:rPr>
          <w:rFonts w:ascii="Times New Roman" w:cs="Times New Roman" w:eastAsia="Times New Roman" w:hAnsi="Times New Roman"/>
          <w:sz w:val="18"/>
          <w:szCs w:val="18"/>
          <w:u w:val="single" w:color="auto"/>
          <w:color w:val="auto"/>
        </w:rPr>
        <w:t>Schedule 3(s)</w:t>
      </w:r>
      <w:r>
        <w:rPr>
          <w:rFonts w:ascii="Times New Roman" w:cs="Times New Roman" w:eastAsia="Times New Roman" w:hAnsi="Times New Roman"/>
          <w:sz w:val="18"/>
          <w:szCs w:val="18"/>
          <w:color w:val="auto"/>
        </w:rPr>
        <w:t>,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(other than such contract, agreement or instrument transferred or satisfied in full in connection with the consummation of the Shoe Business Sale),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60" w:top="270" w:right="459" w:bottom="1440" w:gutter="0" w:footer="0" w:header="0"/>
        </w:sectPr>
      </w:pPr>
    </w:p>
    <w:bookmarkStart w:id="25" w:name="page26"/>
    <w:bookmarkEnd w:id="25"/>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w:t>
      </w:r>
    </w:p>
    <w:p>
      <w:pPr>
        <w:spacing w:after="0" w:line="2" w:lineRule="exact"/>
        <w:rPr>
          <w:sz w:val="20"/>
          <w:szCs w:val="20"/>
          <w:color w:val="auto"/>
        </w:rPr>
      </w:pPr>
    </w:p>
    <w:p>
      <w:pPr>
        <w:ind w:left="304" w:hanging="304"/>
        <w:spacing w:after="0"/>
        <w:tabs>
          <w:tab w:leader="none" w:pos="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above secured by (or for which the holder of such Indebtedness has an existing right, contingent or otherwise, to be secured by) any</w:t>
      </w:r>
    </w:p>
    <w:p>
      <w:pPr>
        <w:spacing w:after="0" w:line="9"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5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3(t)</w:t>
      </w:r>
      <w:r>
        <w:rPr>
          <w:rFonts w:ascii="Times New Roman" w:cs="Times New Roman" w:eastAsia="Times New Roman" w:hAnsi="Times New Roman"/>
          <w:sz w:val="18"/>
          <w:szCs w:val="18"/>
          <w:color w:val="auto"/>
        </w:rPr>
        <w:t>,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employees,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91"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70" w:right="499" w:bottom="1440" w:gutter="0" w:footer="0" w:header="0"/>
        </w:sectPr>
      </w:pPr>
    </w:p>
    <w:bookmarkStart w:id="26" w:name="page27"/>
    <w:bookmarkEnd w:id="26"/>
    <w:p>
      <w:pPr>
        <w:ind w:right="240" w:firstLine="436"/>
        <w:spacing w:after="0" w:line="253"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The Company and its Subsidiaries believe that their relations with their employees are good. No current (or former)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Each of the Company and its Subsidiaries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owned by the Company or any of its Subsidiaries (as applicable).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Fixtures and Equipment</w:t>
      </w:r>
      <w:r>
        <w:rPr>
          <w:rFonts w:ascii="Times New Roman" w:cs="Times New Roman" w:eastAsia="Times New Roman" w:hAnsi="Times New Roman"/>
          <w:sz w:val="18"/>
          <w:szCs w:val="18"/>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8"/>
          <w:szCs w:val="18"/>
          <w:b w:val="1"/>
          <w:bCs w:val="1"/>
          <w:color w:val="auto"/>
        </w:rPr>
        <w:t>Fixtures and Equipment</w:t>
      </w:r>
      <w:r>
        <w:rPr>
          <w:rFonts w:ascii="Times New Roman" w:cs="Times New Roman" w:eastAsia="Times New Roman" w:hAnsi="Times New Roman"/>
          <w:sz w:val="18"/>
          <w:szCs w:val="18"/>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such Closing. Each of the Company and its Subsidiaries owns all of its Fixtures and Equipment free and clear of all Liens except for (a) liens for current taxes not yet due, (b) Permitted Liens, and (c) zoning laws and other land use restrictions that do not impair the present or anticipated use of the property subject thereto</w:t>
      </w:r>
      <w:r>
        <w:rPr>
          <w:rFonts w:ascii="Times New Roman" w:cs="Times New Roman" w:eastAsia="Times New Roman" w:hAnsi="Times New Roman"/>
          <w:sz w:val="18"/>
          <w:szCs w:val="18"/>
          <w:u w:val="single" w:color="auto"/>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7" w:name="page28"/>
    <w:bookmarkEnd w:id="27"/>
    <w:p>
      <w:pPr>
        <w:ind w:left="4" w:firstLine="436"/>
        <w:spacing w:after="0" w:line="269" w:lineRule="auto"/>
        <w:tabs>
          <w:tab w:leader="none" w:pos="69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Rights</w:t>
      </w:r>
      <w:r>
        <w:rPr>
          <w:rFonts w:ascii="Times New Roman" w:cs="Times New Roman" w:eastAsia="Times New Roman" w:hAnsi="Times New Roman"/>
          <w:sz w:val="17"/>
          <w:szCs w:val="17"/>
          <w:color w:val="auto"/>
        </w:rPr>
        <w:t>. Other than any Intellectual Property Rights (as defined below) of the Company or its Subsidiaries to be sold, assigned or transferred in connection with the Shoe Business Sale, if any (collectively, the “</w:t>
      </w:r>
      <w:r>
        <w:rPr>
          <w:rFonts w:ascii="Times New Roman" w:cs="Times New Roman" w:eastAsia="Times New Roman" w:hAnsi="Times New Roman"/>
          <w:sz w:val="17"/>
          <w:szCs w:val="17"/>
          <w:b w:val="1"/>
          <w:bCs w:val="1"/>
          <w:color w:val="auto"/>
        </w:rPr>
        <w:t>Shoe Business IP</w:t>
      </w:r>
      <w:r>
        <w:rPr>
          <w:rFonts w:ascii="Times New Roman" w:cs="Times New Roman" w:eastAsia="Times New Roman" w:hAnsi="Times New Roman"/>
          <w:sz w:val="17"/>
          <w:szCs w:val="17"/>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xml:space="preserve">”) necessary to conduct their respective businesses as now conducted and presently proposed to be conducted. Each of the patents owned by the Company or any of its Subsidiaries are listed on </w:t>
      </w:r>
      <w:r>
        <w:rPr>
          <w:rFonts w:ascii="Times New Roman" w:cs="Times New Roman" w:eastAsia="Times New Roman" w:hAnsi="Times New Roman"/>
          <w:sz w:val="17"/>
          <w:szCs w:val="17"/>
          <w:u w:val="single" w:color="auto"/>
          <w:color w:val="auto"/>
        </w:rPr>
        <w:t>Schedule 3(x)(i)</w:t>
      </w:r>
      <w:r>
        <w:rPr>
          <w:rFonts w:ascii="Times New Roman" w:cs="Times New Roman" w:eastAsia="Times New Roman" w:hAnsi="Times New Roman"/>
          <w:sz w:val="17"/>
          <w:szCs w:val="17"/>
          <w:color w:val="auto"/>
        </w:rPr>
        <w:t xml:space="preserve"> (other than the Shoe Business IP). Except as set forth in </w:t>
      </w:r>
      <w:r>
        <w:rPr>
          <w:rFonts w:ascii="Times New Roman" w:cs="Times New Roman" w:eastAsia="Times New Roman" w:hAnsi="Times New Roman"/>
          <w:sz w:val="17"/>
          <w:szCs w:val="17"/>
          <w:u w:val="single" w:color="auto"/>
          <w:color w:val="auto"/>
        </w:rPr>
        <w:t>Schedule 3(x)(ii)</w:t>
      </w:r>
      <w:r>
        <w:rPr>
          <w:rFonts w:ascii="Times New Roman" w:cs="Times New Roman" w:eastAsia="Times New Roman" w:hAnsi="Times New Roman"/>
          <w:sz w:val="17"/>
          <w:szCs w:val="17"/>
          <w:color w:val="auto"/>
        </w:rPr>
        <w:t>, none of the Company’s Intellectual Property Rights have expired or terminated or have been abandoned or are expected to expire or terminate or are expected to be abandoned, within three years from the date of this Agreement (other than the Shoe Business IP).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75"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 The Company and its Subsidiaries (A) are in compliance with any and all Environmental Laws (as defined below),</w:t>
      </w:r>
    </w:p>
    <w:p>
      <w:pPr>
        <w:spacing w:after="0" w:line="27" w:lineRule="exact"/>
        <w:rPr>
          <w:rFonts w:ascii="Times New Roman" w:cs="Times New Roman" w:eastAsia="Times New Roman" w:hAnsi="Times New Roman"/>
          <w:sz w:val="18"/>
          <w:szCs w:val="18"/>
          <w:color w:val="auto"/>
        </w:rPr>
      </w:pPr>
    </w:p>
    <w:p>
      <w:pPr>
        <w:ind w:left="4" w:right="160" w:hanging="4"/>
        <w:spacing w:after="0" w:line="265" w:lineRule="auto"/>
        <w:tabs>
          <w:tab w:leader="none" w:pos="28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received all permits, licenses or other approvals required of them, if any, under applicable Environmental Laws to conduct their respective businesses and (C) are in compliance with all terms and conditions of any such permit, license or approval where, in each of the foregoing clauses (A),</w:t>
      </w:r>
    </w:p>
    <w:p>
      <w:pPr>
        <w:ind w:left="4" w:right="160" w:hanging="4"/>
        <w:spacing w:after="0" w:line="252" w:lineRule="auto"/>
        <w:tabs>
          <w:tab w:leader="none" w:pos="2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the failure to so comply could be reasonably expected to have, individually or in the aggregate, a Material Adverse Effect.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8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Hazardous Materials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82" w:lineRule="auto"/>
        <w:tabs>
          <w:tab w:leader="none" w:pos="1680"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disposed of or otherwise released from any Real Property of the Company or any of its Subsidiaries in violation of any Environmental Laws; or</w:t>
      </w:r>
    </w:p>
    <w:p>
      <w:pPr>
        <w:spacing w:after="0" w:line="53" w:lineRule="exact"/>
        <w:rPr>
          <w:rFonts w:ascii="Times New Roman" w:cs="Times New Roman" w:eastAsia="Times New Roman" w:hAnsi="Times New Roman"/>
          <w:sz w:val="18"/>
          <w:szCs w:val="18"/>
          <w:color w:val="auto"/>
        </w:rPr>
      </w:pPr>
    </w:p>
    <w:p>
      <w:pPr>
        <w:jc w:val="both"/>
        <w:ind w:left="984" w:right="180" w:firstLine="408"/>
        <w:spacing w:after="0" w:line="289" w:lineRule="auto"/>
        <w:tabs>
          <w:tab w:leader="none" w:pos="1670" w:val="left"/>
        </w:tabs>
        <w:numPr>
          <w:ilvl w:val="3"/>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8" w:name="page29"/>
    <w:bookmarkEnd w:id="28"/>
    <w:p>
      <w:pPr>
        <w:ind w:left="444" w:right="160" w:firstLine="419"/>
        <w:spacing w:after="0" w:line="266" w:lineRule="auto"/>
        <w:tabs>
          <w:tab w:leader="none" w:pos="11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63" w:lineRule="exact"/>
        <w:rPr>
          <w:rFonts w:ascii="Times New Roman" w:cs="Times New Roman" w:eastAsia="Times New Roman" w:hAnsi="Times New Roman"/>
          <w:sz w:val="18"/>
          <w:szCs w:val="18"/>
          <w:color w:val="auto"/>
        </w:rPr>
      </w:pPr>
    </w:p>
    <w:p>
      <w:pPr>
        <w:ind w:left="444" w:right="120" w:firstLine="419"/>
        <w:spacing w:after="0" w:line="286" w:lineRule="auto"/>
        <w:tabs>
          <w:tab w:leader="none" w:pos="11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Real Properties are on any federal or state “Superfund” list or Liability Information System (“</w:t>
      </w:r>
      <w:r>
        <w:rPr>
          <w:rFonts w:ascii="Times New Roman" w:cs="Times New Roman" w:eastAsia="Times New Roman" w:hAnsi="Times New Roman"/>
          <w:sz w:val="18"/>
          <w:szCs w:val="18"/>
          <w:b w:val="1"/>
          <w:bCs w:val="1"/>
          <w:color w:val="auto"/>
        </w:rPr>
        <w:t>CERCLIS</w:t>
      </w:r>
      <w:r>
        <w:rPr>
          <w:rFonts w:ascii="Times New Roman" w:cs="Times New Roman" w:eastAsia="Times New Roman" w:hAnsi="Times New Roman"/>
          <w:sz w:val="18"/>
          <w:szCs w:val="18"/>
          <w:color w:val="auto"/>
        </w:rPr>
        <w:t>”) list or any state environmental agency list of sites under consideration for CERCLIS, nor subject to any environmental related Liens.</w:t>
      </w:r>
    </w:p>
    <w:p>
      <w:pPr>
        <w:spacing w:after="0" w:line="158"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62" w:lineRule="exact"/>
        <w:rPr>
          <w:sz w:val="20"/>
          <w:szCs w:val="20"/>
          <w:color w:val="auto"/>
        </w:rPr>
      </w:pPr>
    </w:p>
    <w:p>
      <w:pPr>
        <w:ind w:left="4" w:firstLine="436"/>
        <w:spacing w:after="0" w:line="253" w:lineRule="auto"/>
        <w:tabs>
          <w:tab w:leader="none" w:pos="7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made or filed all applicable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net operating loss carryforwards (“</w:t>
      </w:r>
      <w:r>
        <w:rPr>
          <w:rFonts w:ascii="Times New Roman" w:cs="Times New Roman" w:eastAsia="Times New Roman" w:hAnsi="Times New Roman"/>
          <w:sz w:val="18"/>
          <w:szCs w:val="18"/>
          <w:b w:val="1"/>
          <w:bCs w:val="1"/>
          <w:color w:val="auto"/>
        </w:rPr>
        <w:t>NOLs</w:t>
      </w:r>
      <w:r>
        <w:rPr>
          <w:rFonts w:ascii="Times New Roman" w:cs="Times New Roman" w:eastAsia="Times New Roman" w:hAnsi="Times New Roman"/>
          <w:sz w:val="18"/>
          <w:szCs w:val="18"/>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194" w:lineRule="exact"/>
        <w:rPr>
          <w:rFonts w:ascii="Times New Roman" w:cs="Times New Roman" w:eastAsia="Times New Roman" w:hAnsi="Times New Roman"/>
          <w:sz w:val="18"/>
          <w:szCs w:val="18"/>
          <w:color w:val="auto"/>
        </w:rPr>
      </w:pPr>
    </w:p>
    <w:p>
      <w:pPr>
        <w:ind w:left="4" w:firstLine="436"/>
        <w:spacing w:after="0" w:line="254" w:lineRule="auto"/>
        <w:tabs>
          <w:tab w:leader="none" w:pos="7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disclosed in the SEC Documents,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w:t>
      </w:r>
    </w:p>
    <w:p>
      <w:pPr>
        <w:spacing w:after="0" w:line="3" w:lineRule="exact"/>
        <w:rPr>
          <w:rFonts w:ascii="Times New Roman" w:cs="Times New Roman" w:eastAsia="Times New Roman" w:hAnsi="Times New Roman"/>
          <w:sz w:val="18"/>
          <w:szCs w:val="18"/>
          <w:color w:val="auto"/>
        </w:rPr>
      </w:pPr>
    </w:p>
    <w:p>
      <w:pPr>
        <w:ind w:left="4" w:right="20" w:hanging="4"/>
        <w:spacing w:after="0" w:line="253" w:lineRule="auto"/>
        <w:tabs>
          <w:tab w:leader="none" w:pos="3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disclosed in the SEC Documents, the Company maintains disclosure controls and procedures (as such term is defined in Rule 13a-15(e) under the 1934 Act)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29" w:name="page30"/>
    <w:bookmarkEnd w:id="2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89" w:lineRule="exact"/>
        <w:rPr>
          <w:sz w:val="20"/>
          <w:szCs w:val="20"/>
          <w:color w:val="auto"/>
        </w:rPr>
      </w:pPr>
    </w:p>
    <w:p>
      <w:pPr>
        <w:jc w:val="both"/>
        <w:ind w:right="60" w:firstLine="436"/>
        <w:spacing w:after="0" w:line="266" w:lineRule="auto"/>
        <w:tabs>
          <w:tab w:leader="none" w:pos="7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7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Buyers’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conversion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(as defined below)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Conversion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Notes or any other Transaction Document or any of the documents executed in connection herewith or therewith.</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30" w:name="page31"/>
    <w:bookmarkEnd w:id="30"/>
    <w:p>
      <w:pPr>
        <w:ind w:left="-20" w:right="80" w:firstLine="436"/>
        <w:spacing w:after="0" w:line="256" w:lineRule="auto"/>
        <w:tabs>
          <w:tab w:leader="none" w:pos="7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87" w:lineRule="exact"/>
        <w:rPr>
          <w:rFonts w:ascii="Times New Roman" w:cs="Times New Roman" w:eastAsia="Times New Roman" w:hAnsi="Times New Roman"/>
          <w:sz w:val="18"/>
          <w:szCs w:val="18"/>
          <w:color w:val="auto"/>
        </w:rPr>
      </w:pPr>
    </w:p>
    <w:p>
      <w:pPr>
        <w:ind w:left="-20" w:right="100" w:firstLine="436"/>
        <w:spacing w:after="0" w:line="266" w:lineRule="auto"/>
        <w:tabs>
          <w:tab w:leader="none" w:pos="7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175"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7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Registrable Securities for resale by the Buyers using Form S-3 promulgated under the 1933 Act.</w:t>
      </w:r>
    </w:p>
    <w:p>
      <w:pPr>
        <w:spacing w:after="0" w:line="161" w:lineRule="exact"/>
        <w:rPr>
          <w:rFonts w:ascii="Times New Roman" w:cs="Times New Roman" w:eastAsia="Times New Roman" w:hAnsi="Times New Roman"/>
          <w:sz w:val="18"/>
          <w:szCs w:val="18"/>
          <w:color w:val="auto"/>
        </w:rPr>
      </w:pPr>
    </w:p>
    <w:p>
      <w:pPr>
        <w:ind w:left="-20" w:right="100" w:firstLine="436"/>
        <w:spacing w:after="0" w:line="266"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each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 Regulation T, U or X</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20" w:firstLine="419"/>
        <w:spacing w:after="0" w:line="257" w:lineRule="auto"/>
        <w:tabs>
          <w:tab w:leader="none" w:pos="10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to regulation by the Board of Governors of the Federal Reserve System of the United States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78" w:lineRule="exact"/>
        <w:rPr>
          <w:rFonts w:ascii="Times New Roman" w:cs="Times New Roman" w:eastAsia="Times New Roman" w:hAnsi="Times New Roman"/>
          <w:sz w:val="18"/>
          <w:szCs w:val="18"/>
          <w:color w:val="auto"/>
        </w:rPr>
      </w:pPr>
    </w:p>
    <w:p>
      <w:pPr>
        <w:ind w:left="420" w:right="400" w:firstLine="419"/>
        <w:spacing w:after="0" w:line="312" w:lineRule="auto"/>
        <w:tabs>
          <w:tab w:leader="none" w:pos="1108"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the Notes, the use of proceeds thereof and the other transactions contemplated thereby or by the other Transaction Documents, will not violate or be inconsistent with the provisions of Regulation T, U or X of the Board of Governors of the Federal Reserve.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31" w:name="page32"/>
    <w:bookmarkEnd w:id="31"/>
    <w:p>
      <w:pPr>
        <w:ind w:left="740" w:hanging="344"/>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25" w:lineRule="exact"/>
        <w:rPr>
          <w:rFonts w:ascii="Times New Roman" w:cs="Times New Roman" w:eastAsia="Times New Roman" w:hAnsi="Times New Roman"/>
          <w:sz w:val="18"/>
          <w:szCs w:val="18"/>
          <w:color w:val="auto"/>
        </w:rPr>
      </w:pPr>
    </w:p>
    <w:p>
      <w:pPr>
        <w:ind w:left="-40" w:right="80" w:firstLine="436"/>
        <w:spacing w:after="0" w:line="255"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8"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8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rFonts w:ascii="Times New Roman" w:cs="Times New Roman" w:eastAsia="Times New Roman" w:hAnsi="Times New Roman"/>
          <w:sz w:val="18"/>
          <w:szCs w:val="18"/>
          <w:color w:val="auto"/>
        </w:rPr>
      </w:pPr>
    </w:p>
    <w:p>
      <w:pPr>
        <w:ind w:left="-40" w:right="180" w:firstLine="436"/>
        <w:spacing w:after="0" w:line="282" w:lineRule="auto"/>
        <w:tabs>
          <w:tab w:leader="none" w:pos="7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During the past five-year period, no current or former officer or director or, to the knowledge of the Company, no current ten percent (10%) or greater stockholder of the Company or any of its Subsidiaries has been the subject of:</w:t>
      </w:r>
    </w:p>
    <w:p>
      <w:pPr>
        <w:spacing w:after="0" w:line="53" w:lineRule="exact"/>
        <w:rPr>
          <w:rFonts w:ascii="Times New Roman" w:cs="Times New Roman" w:eastAsia="Times New Roman" w:hAnsi="Times New Roman"/>
          <w:sz w:val="18"/>
          <w:szCs w:val="18"/>
          <w:color w:val="auto"/>
        </w:rPr>
      </w:pPr>
    </w:p>
    <w:p>
      <w:pPr>
        <w:ind w:left="400" w:right="200" w:firstLine="419"/>
        <w:spacing w:after="0" w:line="261" w:lineRule="auto"/>
        <w:tabs>
          <w:tab w:leader="none" w:pos="103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71" w:lineRule="exact"/>
        <w:rPr>
          <w:rFonts w:ascii="Times New Roman" w:cs="Times New Roman" w:eastAsia="Times New Roman" w:hAnsi="Times New Roman"/>
          <w:sz w:val="18"/>
          <w:szCs w:val="18"/>
          <w:color w:val="auto"/>
        </w:rPr>
      </w:pPr>
    </w:p>
    <w:p>
      <w:pPr>
        <w:ind w:left="400" w:right="40" w:firstLine="419"/>
        <w:spacing w:after="0" w:line="282" w:lineRule="auto"/>
        <w:tabs>
          <w:tab w:leader="none" w:pos="10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in a criminal proceeding or a named subject of a pending criminal proceeding (excluding traffic violations that do not relate to driving while intoxicated or driving under the influence);</w:t>
      </w:r>
    </w:p>
    <w:p>
      <w:pPr>
        <w:spacing w:after="0" w:line="53" w:lineRule="exact"/>
        <w:rPr>
          <w:rFonts w:ascii="Times New Roman" w:cs="Times New Roman" w:eastAsia="Times New Roman" w:hAnsi="Times New Roman"/>
          <w:sz w:val="18"/>
          <w:szCs w:val="18"/>
          <w:color w:val="auto"/>
        </w:rPr>
      </w:pPr>
    </w:p>
    <w:p>
      <w:pPr>
        <w:ind w:left="400" w:right="60" w:firstLine="419"/>
        <w:spacing w:after="0" w:line="282" w:lineRule="auto"/>
        <w:tabs>
          <w:tab w:leader="none" w:pos="113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53" w:lineRule="exact"/>
        <w:rPr>
          <w:rFonts w:ascii="Times New Roman" w:cs="Times New Roman" w:eastAsia="Times New Roman" w:hAnsi="Times New Roman"/>
          <w:sz w:val="18"/>
          <w:szCs w:val="18"/>
          <w:color w:val="auto"/>
        </w:rPr>
      </w:pPr>
    </w:p>
    <w:p>
      <w:pPr>
        <w:ind w:left="940" w:firstLine="408"/>
        <w:spacing w:after="0" w:line="258" w:lineRule="auto"/>
        <w:tabs>
          <w:tab w:leader="none" w:pos="163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80" w:top="270" w:right="479" w:bottom="1440" w:gutter="0" w:footer="0" w:header="0"/>
        </w:sectPr>
      </w:pPr>
    </w:p>
    <w:bookmarkStart w:id="32" w:name="page33"/>
    <w:bookmarkEnd w:id="32"/>
    <w:p>
      <w:pPr>
        <w:ind w:left="1660" w:hanging="292"/>
        <w:spacing w:after="0"/>
        <w:tabs>
          <w:tab w:leader="none" w:pos="16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Engaging in any particular type of business practice; or</w:t>
      </w:r>
    </w:p>
    <w:p>
      <w:pPr>
        <w:spacing w:after="0" w:line="117" w:lineRule="exact"/>
        <w:rPr>
          <w:rFonts w:ascii="Times New Roman" w:cs="Times New Roman" w:eastAsia="Times New Roman" w:hAnsi="Times New Roman"/>
          <w:sz w:val="18"/>
          <w:szCs w:val="18"/>
          <w:color w:val="auto"/>
        </w:rPr>
      </w:pPr>
    </w:p>
    <w:p>
      <w:pPr>
        <w:ind w:left="960" w:right="640" w:firstLine="408"/>
        <w:spacing w:after="0" w:line="282" w:lineRule="auto"/>
        <w:tabs>
          <w:tab w:leader="none" w:pos="164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securities laws or commodities laws;</w:t>
      </w:r>
    </w:p>
    <w:p>
      <w:pPr>
        <w:spacing w:after="0" w:line="53" w:lineRule="exact"/>
        <w:rPr>
          <w:rFonts w:ascii="Times New Roman" w:cs="Times New Roman" w:eastAsia="Times New Roman" w:hAnsi="Times New Roman"/>
          <w:sz w:val="18"/>
          <w:szCs w:val="18"/>
          <w:color w:val="auto"/>
        </w:rPr>
      </w:pPr>
    </w:p>
    <w:p>
      <w:pPr>
        <w:ind w:left="420" w:right="340" w:firstLine="419"/>
        <w:spacing w:after="0" w:line="266" w:lineRule="auto"/>
        <w:tabs>
          <w:tab w:leader="none" w:pos="11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67" w:lineRule="exact"/>
        <w:rPr>
          <w:rFonts w:ascii="Times New Roman" w:cs="Times New Roman" w:eastAsia="Times New Roman" w:hAnsi="Times New Roman"/>
          <w:sz w:val="18"/>
          <w:szCs w:val="18"/>
          <w:color w:val="auto"/>
        </w:rPr>
      </w:pPr>
    </w:p>
    <w:p>
      <w:pPr>
        <w:jc w:val="both"/>
        <w:ind w:left="420" w:right="520" w:firstLine="419"/>
        <w:spacing w:after="0" w:line="266" w:lineRule="auto"/>
        <w:tabs>
          <w:tab w:leader="none" w:pos="109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67" w:lineRule="exact"/>
        <w:rPr>
          <w:rFonts w:ascii="Times New Roman" w:cs="Times New Roman" w:eastAsia="Times New Roman" w:hAnsi="Times New Roman"/>
          <w:sz w:val="18"/>
          <w:szCs w:val="18"/>
          <w:color w:val="auto"/>
        </w:rPr>
      </w:pPr>
    </w:p>
    <w:p>
      <w:pPr>
        <w:ind w:left="420" w:right="160" w:firstLine="419"/>
        <w:spacing w:after="0" w:line="282" w:lineRule="auto"/>
        <w:tabs>
          <w:tab w:leader="none" w:pos="11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61" w:lineRule="exact"/>
        <w:rPr>
          <w:rFonts w:ascii="Times New Roman" w:cs="Times New Roman" w:eastAsia="Times New Roman" w:hAnsi="Times New Roman"/>
          <w:sz w:val="18"/>
          <w:szCs w:val="18"/>
          <w:color w:val="auto"/>
        </w:rPr>
      </w:pPr>
    </w:p>
    <w:p>
      <w:pPr>
        <w:ind w:left="-20" w:firstLine="436"/>
        <w:spacing w:after="0" w:line="256" w:lineRule="auto"/>
        <w:tabs>
          <w:tab w:leader="none" w:pos="7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7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33" w:name="page34"/>
    <w:bookmarkEnd w:id="33"/>
    <w:p>
      <w:pPr>
        <w:ind w:left="-40" w:firstLine="436"/>
        <w:spacing w:after="0" w:line="254" w:lineRule="auto"/>
        <w:tabs>
          <w:tab w:leader="none" w:pos="7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1933 Act (“Regulation D Securities”),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88" w:lineRule="exact"/>
        <w:rPr>
          <w:rFonts w:ascii="Times New Roman" w:cs="Times New Roman" w:eastAsia="Times New Roman" w:hAnsi="Times New Roman"/>
          <w:sz w:val="18"/>
          <w:szCs w:val="18"/>
          <w:color w:val="auto"/>
        </w:rPr>
      </w:pPr>
    </w:p>
    <w:p>
      <w:pPr>
        <w:ind w:left="-40" w:right="160" w:firstLine="436"/>
        <w:spacing w:after="0" w:line="282"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the Placement Agent) that has been or will be paid (directly or indirectly) remuneration for solicitation of Buyers or potential purchasers in connection with the sale of any Regulation D Securities.</w:t>
      </w:r>
    </w:p>
    <w:p>
      <w:pPr>
        <w:spacing w:after="0" w:line="161" w:lineRule="exact"/>
        <w:rPr>
          <w:rFonts w:ascii="Times New Roman" w:cs="Times New Roman" w:eastAsia="Times New Roman" w:hAnsi="Times New Roman"/>
          <w:sz w:val="18"/>
          <w:szCs w:val="18"/>
          <w:color w:val="auto"/>
        </w:rPr>
      </w:pPr>
    </w:p>
    <w:p>
      <w:pPr>
        <w:ind w:left="-40" w:right="340" w:firstLine="436"/>
        <w:spacing w:after="0" w:line="282" w:lineRule="auto"/>
        <w:tabs>
          <w:tab w:leader="none" w:pos="7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61" w:lineRule="exact"/>
        <w:rPr>
          <w:rFonts w:ascii="Times New Roman" w:cs="Times New Roman" w:eastAsia="Times New Roman" w:hAnsi="Times New Roman"/>
          <w:sz w:val="18"/>
          <w:szCs w:val="18"/>
          <w:color w:val="auto"/>
        </w:rPr>
      </w:pPr>
    </w:p>
    <w:p>
      <w:pPr>
        <w:ind w:left="-40" w:right="60" w:firstLine="436"/>
        <w:spacing w:after="0" w:line="282"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Company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Company Holding Act of 2005.</w:t>
      </w:r>
    </w:p>
    <w:p>
      <w:pPr>
        <w:spacing w:after="0" w:line="161" w:lineRule="exact"/>
        <w:rPr>
          <w:rFonts w:ascii="Times New Roman" w:cs="Times New Roman" w:eastAsia="Times New Roman" w:hAnsi="Times New Roman"/>
          <w:sz w:val="18"/>
          <w:szCs w:val="18"/>
          <w:color w:val="auto"/>
        </w:rPr>
      </w:pPr>
    </w:p>
    <w:p>
      <w:pPr>
        <w:ind w:left="-40" w:right="280" w:firstLine="436"/>
        <w:spacing w:after="0" w:line="282" w:lineRule="auto"/>
        <w:tabs>
          <w:tab w:leader="none" w:pos="7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 Act, as amended.</w:t>
      </w:r>
    </w:p>
    <w:p>
      <w:pPr>
        <w:spacing w:after="0" w:line="161" w:lineRule="exact"/>
        <w:rPr>
          <w:rFonts w:ascii="Times New Roman" w:cs="Times New Roman" w:eastAsia="Times New Roman" w:hAnsi="Times New Roman"/>
          <w:sz w:val="18"/>
          <w:szCs w:val="18"/>
          <w:color w:val="auto"/>
        </w:rPr>
      </w:pPr>
    </w:p>
    <w:p>
      <w:pPr>
        <w:ind w:left="-40" w:right="200" w:firstLine="436"/>
        <w:spacing w:after="0" w:line="266" w:lineRule="auto"/>
        <w:tabs>
          <w:tab w:leader="none" w:pos="7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of Notes</w:t>
      </w:r>
      <w:r>
        <w:rPr>
          <w:rFonts w:ascii="Times New Roman" w:cs="Times New Roman" w:eastAsia="Times New Roman" w:hAnsi="Times New Roman"/>
          <w:sz w:val="18"/>
          <w:szCs w:val="18"/>
          <w:color w:val="auto"/>
        </w:rPr>
        <w:t xml:space="preserve">. Other than the Permitted Senior Indebtedness (as defined in the Notes) on or prior to the Shoe Sale Closing Time, no Indebtedness of the Company, at any Closing, will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in right of payment, whether with respect to payment or redemptions, interest, damages, upon liquidation or dissolution or otherwise.</w:t>
      </w:r>
    </w:p>
    <w:p>
      <w:pPr>
        <w:spacing w:after="0" w:line="175" w:lineRule="exact"/>
        <w:rPr>
          <w:rFonts w:ascii="Times New Roman" w:cs="Times New Roman" w:eastAsia="Times New Roman" w:hAnsi="Times New Roman"/>
          <w:sz w:val="18"/>
          <w:szCs w:val="18"/>
          <w:color w:val="auto"/>
        </w:rPr>
      </w:pPr>
    </w:p>
    <w:p>
      <w:pPr>
        <w:ind w:left="-40" w:firstLine="436"/>
        <w:spacing w:after="0" w:line="253" w:lineRule="auto"/>
        <w:tabs>
          <w:tab w:leader="none" w:pos="8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80" w:top="270"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(iv) any information which would qualify as “protected health information” under the Health Insurance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Portability and Accountability Act of 1996, as amended by the Health Information Technology for Economic and Clinical Health Act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of any data related to an identified person’s health or sexual orientation. There have been no breaches, violations, outages or unauthorized 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accesses to same, except for those that have been remedied without material cost or liability or the duty to notify any other person or such, nor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incidents under internal review or investigations relating to the same except in each case, where such would not, either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result in a Material Adverse Effect. The Company and its Subsidiaries are presently in compliance with all applicable laws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statutes and all judgments, orders, rules and regulations of any court or arbitrator or governmental or regulatory authority, internal policies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relating to the privacy and security of IT Systems and Personal Data and to the protection of such IT Systems and Personal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unauthorized use, access, misappropriation or modification except in each case, where such would not, either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result in a Material Adverse Effect.</w:t>
      </w:r>
    </w:p>
    <w:p>
      <w:pPr>
        <w:spacing w:after="0" w:line="207" w:lineRule="exact"/>
        <w:rPr>
          <w:sz w:val="20"/>
          <w:szCs w:val="20"/>
          <w:color w:val="auto"/>
        </w:rPr>
      </w:pPr>
    </w:p>
    <w:p>
      <w:pPr>
        <w:ind w:firstLine="436"/>
        <w:spacing w:after="0" w:line="252" w:lineRule="auto"/>
        <w:tabs>
          <w:tab w:leader="none" w:pos="7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7" w:lineRule="exact"/>
        <w:rPr>
          <w:rFonts w:ascii="Times New Roman" w:cs="Times New Roman" w:eastAsia="Times New Roman" w:hAnsi="Times New Roman"/>
          <w:sz w:val="18"/>
          <w:szCs w:val="18"/>
          <w:color w:val="auto"/>
        </w:rPr>
      </w:pPr>
    </w:p>
    <w:p>
      <w:pPr>
        <w:ind w:right="20" w:firstLine="436"/>
        <w:spacing w:after="0" w:line="258" w:lineRule="auto"/>
        <w:tabs>
          <w:tab w:leader="none" w:pos="7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5" w:name="page36"/>
    <w:bookmarkEnd w:id="35"/>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the Buyers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200" w:lineRule="exact"/>
        <w:rPr>
          <w:sz w:val="20"/>
          <w:szCs w:val="20"/>
          <w:color w:val="auto"/>
        </w:rPr>
      </w:pPr>
    </w:p>
    <w:p>
      <w:pPr>
        <w:spacing w:after="0" w:line="297" w:lineRule="exact"/>
        <w:rPr>
          <w:sz w:val="20"/>
          <w:szCs w:val="20"/>
          <w:color w:val="auto"/>
        </w:rPr>
      </w:pPr>
    </w:p>
    <w:p>
      <w:pPr>
        <w:ind w:left="184" w:hanging="184"/>
        <w:spacing w:after="0"/>
        <w:tabs>
          <w:tab w:leader="none" w:pos="18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121" w:lineRule="exact"/>
        <w:rPr>
          <w:rFonts w:ascii="Times New Roman" w:cs="Times New Roman" w:eastAsia="Times New Roman" w:hAnsi="Times New Roman"/>
          <w:sz w:val="18"/>
          <w:szCs w:val="18"/>
          <w:b w:val="1"/>
          <w:bCs w:val="1"/>
          <w:color w:val="auto"/>
        </w:rPr>
      </w:pPr>
    </w:p>
    <w:p>
      <w:pPr>
        <w:ind w:left="4" w:right="180" w:firstLine="436"/>
        <w:spacing w:after="0" w:line="266"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Best Efforts</w:t>
      </w:r>
      <w:r>
        <w:rPr>
          <w:rFonts w:ascii="Times New Roman" w:cs="Times New Roman" w:eastAsia="Times New Roman" w:hAnsi="Times New Roman"/>
          <w:sz w:val="18"/>
          <w:szCs w:val="18"/>
          <w:color w:val="auto"/>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spacing w:after="0" w:line="17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The Company shall file a Form D with respect to the Securities as required under Regulation D and provide a copy thereof to each Buyer promptly after such filing. The Company shall, on or before each Closing Date, take such action as the Company shall reasonably determine is necessary in order to obtain an exemption for, or to, qualify the Securities for sale to the Buyers at the applicable Closing pursuant to this Agreement under applicable securities or “Blue Sky” laws of the states of the United States (or to obtain an exemption from such qualification), and shall provide evidence of any such action so taken to the Buyers on or prior to each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36" w:name="page37"/>
    <w:bookmarkEnd w:id="36"/>
    <w:p>
      <w:pPr>
        <w:ind w:left="4" w:right="20" w:firstLine="436"/>
        <w:spacing w:after="0" w:line="259" w:lineRule="auto"/>
        <w:tabs>
          <w:tab w:leader="none" w:pos="68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Status</w:t>
      </w:r>
      <w:r>
        <w:rPr>
          <w:rFonts w:ascii="Times New Roman" w:cs="Times New Roman" w:eastAsia="Times New Roman" w:hAnsi="Times New Roman"/>
          <w:sz w:val="18"/>
          <w:szCs w:val="18"/>
          <w:color w:val="auto"/>
        </w:rPr>
        <w:t>. Until the date on which the Buyers shall have sold all of the Registrable Securities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 From the time Form S-3 is available to the Company for the registration of the Registrable Securities, the Company shall take all actions necessary to maintain its eligibility to register the Registrable Securities for resale by the Buyers on Form S-3.</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proceeds from the sale of the Securities, (i) with respect to the Initial Closing, for transaction expenses and to purchase GPU assets and related ancillary equipment for AI model training and (ii) with respect to each Additional Closing, for working capital purposes and as set forth in the applicable Additional Closing Notice and/or confirmation thereof, as applicable, but not, in each case, directly or indirectly, for (x) the satisfaction of any indebtedness of the Company or any of its Subsidiaries (other than the repayment of Notes), (y) the redemption or repurchase of any securities of the Company or any of its Subsidiaries, or (z) the settlement of any outstanding litigation.</w:t>
      </w:r>
    </w:p>
    <w:p>
      <w:pPr>
        <w:spacing w:after="0" w:line="183"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68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Information</w:t>
      </w:r>
      <w:r>
        <w:rPr>
          <w:rFonts w:ascii="Times New Roman" w:cs="Times New Roman" w:eastAsia="Times New Roman" w:hAnsi="Times New Roman"/>
          <w:sz w:val="17"/>
          <w:szCs w:val="17"/>
          <w:color w:val="auto"/>
        </w:rPr>
        <w:t>. The Company agrees to send the following to each Investor (as defined in the Registration Rights Agreement)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w:t>
      </w:r>
    </w:p>
    <w:p>
      <w:pPr>
        <w:spacing w:after="0" w:line="2" w:lineRule="exact"/>
        <w:rPr>
          <w:rFonts w:ascii="Times New Roman" w:cs="Times New Roman" w:eastAsia="Times New Roman" w:hAnsi="Times New Roman"/>
          <w:sz w:val="17"/>
          <w:szCs w:val="17"/>
          <w:color w:val="auto"/>
        </w:rPr>
      </w:pPr>
    </w:p>
    <w:p>
      <w:pPr>
        <w:ind w:left="4" w:right="20" w:hanging="4"/>
        <w:spacing w:after="0" w:line="250"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w:t>
      </w:r>
    </w:p>
    <w:p>
      <w:pPr>
        <w:ind w:left="4" w:right="880" w:hanging="4"/>
        <w:spacing w:after="0" w:line="260" w:lineRule="auto"/>
        <w:tabs>
          <w:tab w:leader="none" w:pos="3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81"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6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promptly secure the listing or designation for quotation (as the case may be) of all of the Underlying Securities (as defined below)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Underlying Securities from time to time issuable under the terms of the Transaction Documents on such national securities exchange or automated quotation system. The Company shall maintain the Common Stock’s listing or authorization for quotation (as the case may be) on The New York Stock Exchange, the NYSE American, the Nasdaq Capital Market, the Nasdaq Global Market or the Nasdaq Global Select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Neither the Company nor any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6" w:right="459" w:bottom="1440" w:gutter="0" w:footer="0" w:header="0"/>
        </w:sectPr>
      </w:pPr>
    </w:p>
    <w:bookmarkStart w:id="37" w:name="page38"/>
    <w:bookmarkEnd w:id="37"/>
    <w:p>
      <w:pPr>
        <w:ind w:left="4"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Subsidiaries shall take any action which could be reasonably expected to result in the delisting or suspension of the Common Stock on an Eligible Market. The Company shall pay all fees and expenses in connection with satisfying its obligations under this Section 4(f). “</w:t>
      </w:r>
      <w:r>
        <w:rPr>
          <w:rFonts w:ascii="Times New Roman" w:cs="Times New Roman" w:eastAsia="Times New Roman" w:hAnsi="Times New Roman"/>
          <w:sz w:val="17"/>
          <w:szCs w:val="17"/>
          <w:b w:val="1"/>
          <w:bCs w:val="1"/>
          <w:color w:val="auto"/>
        </w:rPr>
        <w:t>Underlying Securities</w:t>
      </w:r>
      <w:r>
        <w:rPr>
          <w:rFonts w:ascii="Times New Roman" w:cs="Times New Roman" w:eastAsia="Times New Roman" w:hAnsi="Times New Roman"/>
          <w:sz w:val="17"/>
          <w:szCs w:val="17"/>
          <w:color w:val="auto"/>
        </w:rPr>
        <w:t>” means (i) the Conversion Shares, and (ii) any capital stock of the Company issued or issuable with respect to the Conversion Shares or the Notes, respectively, including, without limitation, (1) as a result of any stock split, stock dividend, recapitalization, exchange or similar event or otherwise and</w:t>
      </w:r>
    </w:p>
    <w:p>
      <w:pPr>
        <w:spacing w:after="0" w:line="3" w:lineRule="exact"/>
        <w:rPr>
          <w:sz w:val="20"/>
          <w:szCs w:val="20"/>
          <w:color w:val="auto"/>
        </w:rPr>
      </w:pPr>
    </w:p>
    <w:p>
      <w:pPr>
        <w:ind w:left="4" w:right="440" w:hanging="4"/>
        <w:spacing w:after="0" w:line="255"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capital stock of the Company into which the shares of Common Stock are converted or exchanged and shares of capital stock of a Successor Entity (as defined in the Notes) into which the shares of Common Stock are converted or exchanged, in each case, without regard to any limitations on conversion of the Notes.</w:t>
      </w:r>
    </w:p>
    <w:p>
      <w:pPr>
        <w:spacing w:after="0" w:line="18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reimburse the lead Buyer (i) at the Initial Closing, a non-accountable amount of $150,000.00 for the fees and expenses of Kelley Drye &amp; Warren LLP, securities counsel to the lead Buyer, Blank Rome LLP, special collateral counsel to the lead Buyer, and Flexible Consulting, (ii) at each Additional Closing, (A) a non-accountable amount of $35,000.00, in each case, for legal fees of outside counsel and disbursements of Kelley Drye &amp; Warren LLP, securities counsel to the lead Buyer, (B) a non-accountable amount of $10,000.00, in each case, for legal fees of outside counsel and disbursements of Blank Rome LLP, special collateral counsel to the lead Buyer, and (C) $10,000.00 to Flexible Consulting for expenses of the lead Buyer, and (iii) costs and expenses incurred by it or its affiliates in connection with the structuring, documentation, diligence, negotiation, and applicable closing and post-closing, as applicable, of the transactions contemplated by the Transaction Documents (including, without limitation, as applicable,all legal fees of outside counsel and disbursements of Kelley Drye &amp; Warren LLP and Blank Rome LLP, any other reasonable fees and expenses in connection with the structuring, documentation, negotiation and closing of the transactions contemplated by the Transaction Documents and due diligence and regulatory filings in connection therewith) (collectively, the “</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and shall be withheld by the lead Buyer from its applicable Purchase Price at the applicable Closing, and with respect to the Initial Closing, less $75,000 previously paid by the Company to the lead Buyer; provided, that the Company shall promptly reimburse Kelley Drye &amp; Warren LLP and Blank Rome LLP on demand for all Transaction Expenses not so reimbursed through such withholding at such Closing. The Company shall be responsible for the payment of any placement agent’s fees, financial advisory fees, transfer agent fees, Controlled Account Bank (as defined in the Security Agreement) fees, DTC (as defined below) fees or broker’s commissions (other than for Persons engaged by any Buyer) relating to or arising out of the transactions contemplated hereby (including, without limitation, any fees or commissions payable to the Placement Agent, who is the Company’s sole placement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8" w:name="page39"/>
    <w:bookmarkEnd w:id="38"/>
    <w:p>
      <w:pPr>
        <w:ind w:left="-40" w:right="20" w:firstLine="436"/>
        <w:spacing w:after="0" w:line="254"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 of Securities</w:t>
      </w:r>
      <w:r>
        <w:rPr>
          <w:rFonts w:ascii="Times New Roman" w:cs="Times New Roman" w:eastAsia="Times New Roman" w:hAnsi="Times New Roman"/>
          <w:sz w:val="18"/>
          <w:szCs w:val="18"/>
          <w:color w:val="auto"/>
        </w:rPr>
        <w:t xml:space="preserve">.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Section 2(g)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Investor and its pledgee shall be required to comply with the provisions of Section 2(g) hereof in order to effect a sale, transfer or assignment of Securities to such pledgee. The Company hereby agrees to execute and deliver such documentation as a pledgee of the Securities may reasonably request in connection with a pledge of the Securities to such pledgee by a Buyer.</w:t>
      </w:r>
    </w:p>
    <w:p>
      <w:pPr>
        <w:spacing w:after="0" w:line="191"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40" w:firstLine="408"/>
        <w:spacing w:after="0" w:line="235" w:lineRule="auto"/>
        <w:tabs>
          <w:tab w:leader="none" w:pos="1635"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The Company shall, on or before 9:30 a.m., New York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after the date of this Agreement, issue a press release (the “</w:t>
      </w:r>
      <w:r>
        <w:rPr>
          <w:rFonts w:ascii="Times New Roman" w:cs="Times New Roman" w:eastAsia="Times New Roman" w:hAnsi="Times New Roman"/>
          <w:sz w:val="18"/>
          <w:szCs w:val="18"/>
          <w:b w:val="1"/>
          <w:bCs w:val="1"/>
          <w:color w:val="auto"/>
        </w:rPr>
        <w:t>Initial Press Release</w:t>
      </w:r>
      <w:r>
        <w:rPr>
          <w:rFonts w:ascii="Times New Roman" w:cs="Times New Roman" w:eastAsia="Times New Roman" w:hAnsi="Times New Roman"/>
          <w:sz w:val="18"/>
          <w:szCs w:val="18"/>
          <w:color w:val="auto"/>
        </w:rPr>
        <w:t>”) reasonably acceptable to the Buyers disclosing all the material terms of the transactions contemplated by the Transaction Documents. On or before 9:30 a.m., New York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Notes, the form of Support Agreement, and the form of the Registration Rights Agreement) (the “</w:t>
      </w:r>
      <w:r>
        <w:rPr>
          <w:rFonts w:ascii="Times New Roman" w:cs="Times New Roman" w:eastAsia="Times New Roman" w:hAnsi="Times New Roman"/>
          <w:sz w:val="18"/>
          <w:szCs w:val="18"/>
          <w:b w:val="1"/>
          <w:bCs w:val="1"/>
          <w:color w:val="auto"/>
        </w:rPr>
        <w:t>Initial 8-K Filing</w:t>
      </w:r>
      <w:r>
        <w:rPr>
          <w:rFonts w:ascii="Times New Roman" w:cs="Times New Roman" w:eastAsia="Times New Roman" w:hAnsi="Times New Roman"/>
          <w:sz w:val="18"/>
          <w:szCs w:val="18"/>
          <w:color w:val="auto"/>
        </w:rPr>
        <w:t>”). From and after the filing of the Initial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Initial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101" w:lineRule="exact"/>
        <w:rPr>
          <w:rFonts w:ascii="Times New Roman" w:cs="Times New Roman" w:eastAsia="Times New Roman" w:hAnsi="Times New Roman"/>
          <w:sz w:val="18"/>
          <w:szCs w:val="18"/>
          <w:color w:val="auto"/>
        </w:rPr>
      </w:pPr>
    </w:p>
    <w:p>
      <w:pPr>
        <w:ind w:left="940" w:right="80" w:firstLine="408"/>
        <w:spacing w:after="0" w:line="241" w:lineRule="auto"/>
        <w:tabs>
          <w:tab w:leader="none" w:pos="1626"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Closings</w:t>
      </w:r>
      <w:r>
        <w:rPr>
          <w:rFonts w:ascii="Times New Roman" w:cs="Times New Roman" w:eastAsia="Times New Roman" w:hAnsi="Times New Roman"/>
          <w:sz w:val="18"/>
          <w:szCs w:val="18"/>
          <w:color w:val="auto"/>
        </w:rPr>
        <w:t>. The Company shall, on or before 9:30 a.m., New York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after the Company delivers to the Buyers participating (or receives from a Buyer electing to participate, as applicable) in such Additional Closing an Additional Closing Notice, either issue a press release (each, an “</w:t>
      </w:r>
      <w:r>
        <w:rPr>
          <w:rFonts w:ascii="Times New Roman" w:cs="Times New Roman" w:eastAsia="Times New Roman" w:hAnsi="Times New Roman"/>
          <w:sz w:val="18"/>
          <w:szCs w:val="18"/>
          <w:b w:val="1"/>
          <w:bCs w:val="1"/>
          <w:color w:val="auto"/>
        </w:rPr>
        <w:t>Additional Press Release</w:t>
      </w:r>
      <w:r>
        <w:rPr>
          <w:rFonts w:ascii="Times New Roman" w:cs="Times New Roman" w:eastAsia="Times New Roman" w:hAnsi="Times New Roman"/>
          <w:sz w:val="18"/>
          <w:szCs w:val="18"/>
          <w:color w:val="auto"/>
        </w:rPr>
        <w:t>”, and together with the Initial Press Release, the “</w:t>
      </w:r>
      <w:r>
        <w:rPr>
          <w:rFonts w:ascii="Times New Roman" w:cs="Times New Roman" w:eastAsia="Times New Roman" w:hAnsi="Times New Roman"/>
          <w:sz w:val="18"/>
          <w:szCs w:val="18"/>
          <w:b w:val="1"/>
          <w:bCs w:val="1"/>
          <w:color w:val="auto"/>
        </w:rPr>
        <w:t>Press Releases</w:t>
      </w:r>
      <w:r>
        <w:rPr>
          <w:rFonts w:ascii="Times New Roman" w:cs="Times New Roman" w:eastAsia="Times New Roman" w:hAnsi="Times New Roman"/>
          <w:sz w:val="18"/>
          <w:szCs w:val="18"/>
          <w:color w:val="auto"/>
        </w:rPr>
        <w:t>”) or file a Current Report on Form 8-K (each, an “</w:t>
      </w:r>
      <w:r>
        <w:rPr>
          <w:rFonts w:ascii="Times New Roman" w:cs="Times New Roman" w:eastAsia="Times New Roman" w:hAnsi="Times New Roman"/>
          <w:sz w:val="18"/>
          <w:szCs w:val="18"/>
          <w:b w:val="1"/>
          <w:bCs w:val="1"/>
          <w:color w:val="auto"/>
        </w:rPr>
        <w:t>Additional 8-K Filing</w:t>
      </w:r>
      <w:r>
        <w:rPr>
          <w:rFonts w:ascii="Times New Roman" w:cs="Times New Roman" w:eastAsia="Times New Roman" w:hAnsi="Times New Roman"/>
          <w:sz w:val="18"/>
          <w:szCs w:val="18"/>
          <w:color w:val="auto"/>
        </w:rPr>
        <w:t>”, and together with the Initial 8-K Filing, the “</w:t>
      </w:r>
      <w:r>
        <w:rPr>
          <w:rFonts w:ascii="Times New Roman" w:cs="Times New Roman" w:eastAsia="Times New Roman" w:hAnsi="Times New Roman"/>
          <w:sz w:val="18"/>
          <w:szCs w:val="18"/>
          <w:b w:val="1"/>
          <w:bCs w:val="1"/>
          <w:color w:val="auto"/>
        </w:rPr>
        <w:t>8-K Filings</w:t>
      </w:r>
      <w:r>
        <w:rPr>
          <w:rFonts w:ascii="Times New Roman" w:cs="Times New Roman" w:eastAsia="Times New Roman" w:hAnsi="Times New Roman"/>
          <w:sz w:val="18"/>
          <w:szCs w:val="18"/>
          <w:color w:val="auto"/>
        </w:rPr>
        <w:t>”), in each case reasonably acceptable to such Buyer participating in such Additional Closing, disclosing that “an institutional investor” has elected to deliver an Additional Closing Notice to the Company or the Company has elected to effect an Additional Closing, as applicable. From and after the filing of the Additional Press Release or Additional 8-K Filing, solely to the extent such Additional Closing Notice constitutes material non-public information (as specified by the Company in such applicable Additional Closing Notice), the Company shall have disclosed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80" w:top="270" w:right="479" w:bottom="1440" w:gutter="0" w:footer="0" w:header="0"/>
        </w:sectPr>
      </w:pPr>
    </w:p>
    <w:bookmarkStart w:id="39" w:name="page40"/>
    <w:bookmarkEnd w:id="39"/>
    <w:p>
      <w:pPr>
        <w:ind w:left="5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Additional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79" w:lineRule="exact"/>
        <w:rPr>
          <w:sz w:val="20"/>
          <w:szCs w:val="20"/>
          <w:color w:val="auto"/>
        </w:rPr>
      </w:pPr>
    </w:p>
    <w:p>
      <w:pPr>
        <w:ind w:firstLine="419"/>
        <w:spacing w:after="0" w:line="251" w:lineRule="auto"/>
        <w:tabs>
          <w:tab w:leader="none" w:pos="6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including, without limitation, Section 4(o) of this Agreement,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Releases and any press release or other public disclosure with respect to such transactions (i) in substantial conformity with the 8-K Filings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1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20"/>
          </w:cols>
          <w:pgMar w:left="880" w:top="270" w:right="499" w:bottom="1440" w:gutter="0" w:footer="0" w:header="0"/>
        </w:sectPr>
      </w:pPr>
    </w:p>
    <w:bookmarkStart w:id="40" w:name="page41"/>
    <w:bookmarkEnd w:id="40"/>
    <w:p>
      <w:pPr>
        <w:ind w:left="680" w:hanging="26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Confidential Information. Disclosure Failures; Disclosure Delay Payments</w:t>
      </w:r>
      <w:r>
        <w:rPr>
          <w:rFonts w:ascii="Times New Roman" w:cs="Times New Roman" w:eastAsia="Times New Roman" w:hAnsi="Times New Roman"/>
          <w:sz w:val="18"/>
          <w:szCs w:val="18"/>
          <w:color w:val="auto"/>
        </w:rPr>
        <w:t>. In addition to other remedies set forth in this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4(i), and without limiting anything set forth in any other Transaction Document, at any time after each Closing Date if the Company, any of its Subsidiaries, or any of their respective officers, directors, employees or agents, provides any Buyer with material non-public information relating to the Company or any of its Subsidiaries (each,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the Company shall, on or prior to the applicable Required Disclosure Date (as defined below), publicly disclose such Confidential Information on a Current Report on Form 8-K or otherwise (each, a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From and after such Disclosure, the Company shall have disclosed all Confidential Information provided to such Buyer by the Company or any of its Subsidiaries or any of their respective officers, directors, employees or agents in connection with the transactions contemplated by the Transaction Documents.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In the event that the Company fails to effect such Disclosure on or prior to the Required Disclosure Date and such Buyer shall have possessed Confidential Information for at least ten (10) consecutive Trading Days (each, a “</w:t>
      </w:r>
      <w:r>
        <w:rPr>
          <w:rFonts w:ascii="Times New Roman" w:cs="Times New Roman" w:eastAsia="Times New Roman" w:hAnsi="Times New Roman"/>
          <w:sz w:val="18"/>
          <w:szCs w:val="18"/>
          <w:b w:val="1"/>
          <w:bCs w:val="1"/>
          <w:color w:val="auto"/>
        </w:rPr>
        <w:t>Disclosure Failure</w:t>
      </w:r>
      <w:r>
        <w:rPr>
          <w:rFonts w:ascii="Times New Roman" w:cs="Times New Roman" w:eastAsia="Times New Roman" w:hAnsi="Times New Roman"/>
          <w:sz w:val="18"/>
          <w:szCs w:val="18"/>
          <w:color w:val="auto"/>
        </w:rPr>
        <w:t>”), then, as partial relief for the damages to such Buyer by reason of any such delay in, or reduction of, its ability to buy or sell shares of Common Stock after such Required Disclosure Date (which remedy shall not be exclusive of any other remedies available at law or in equity), the Company shall pay to such Buyer an amount in cash equal to the greater of (I) two percent (2%) of the aggregate principal amount of Notes purchased buy such Buyer and (II) the applicable Disclosure Restitution Amount (as defined below), on each of the following dates (each, a “</w:t>
      </w:r>
      <w:r>
        <w:rPr>
          <w:rFonts w:ascii="Times New Roman" w:cs="Times New Roman" w:eastAsia="Times New Roman" w:hAnsi="Times New Roman"/>
          <w:sz w:val="18"/>
          <w:szCs w:val="18"/>
          <w:b w:val="1"/>
          <w:bCs w:val="1"/>
          <w:color w:val="auto"/>
        </w:rPr>
        <w:t>Disclosure Delay Payment Date</w:t>
      </w:r>
      <w:r>
        <w:rPr>
          <w:rFonts w:ascii="Times New Roman" w:cs="Times New Roman" w:eastAsia="Times New Roman" w:hAnsi="Times New Roman"/>
          <w:sz w:val="18"/>
          <w:szCs w:val="18"/>
          <w:color w:val="auto"/>
        </w:rPr>
        <w:t>”): (i) on the date of such Disclosure Failure and (ii) on every thirty (30) day anniversary such Disclosure Failure until the earlier of (x) the date such Disclosure Failure is cured and (y) such time as all such non-public information provided to such Buyer shall cease to be Confidential Information (as evidenced by a certificate, duly executed by an authorized officer of the Company to the foregoing effect) (such earlier date, as applicable, a “</w:t>
      </w:r>
      <w:r>
        <w:rPr>
          <w:rFonts w:ascii="Times New Roman" w:cs="Times New Roman" w:eastAsia="Times New Roman" w:hAnsi="Times New Roman"/>
          <w:sz w:val="18"/>
          <w:szCs w:val="18"/>
          <w:b w:val="1"/>
          <w:bCs w:val="1"/>
          <w:color w:val="auto"/>
        </w:rPr>
        <w:t>Disclosure Cure Date</w:t>
      </w:r>
      <w:r>
        <w:rPr>
          <w:rFonts w:ascii="Times New Roman" w:cs="Times New Roman" w:eastAsia="Times New Roman" w:hAnsi="Times New Roman"/>
          <w:sz w:val="18"/>
          <w:szCs w:val="18"/>
          <w:color w:val="auto"/>
        </w:rPr>
        <w:t>”). Following the initial Disclosure Delay Payment for any particular Disclosure Failure, without limiting the foregoing, if a Disclosure Cure Date occurs prior to any thirty (30) day anniversary of such Disclosure Failure, then such Disclosure Delay Payment (prorated for such partial month) shall be made on the second (2nd) Business Day after such Disclosure Cure Date. The payments to which a Buyer shall be entitled pursuant to this Section 4(i)(ii) are referred to herein as “</w:t>
      </w:r>
      <w:r>
        <w:rPr>
          <w:rFonts w:ascii="Times New Roman" w:cs="Times New Roman" w:eastAsia="Times New Roman" w:hAnsi="Times New Roman"/>
          <w:sz w:val="18"/>
          <w:szCs w:val="18"/>
          <w:b w:val="1"/>
          <w:bCs w:val="1"/>
          <w:color w:val="auto"/>
        </w:rPr>
        <w:t>Disclosure Delay Payments.</w:t>
      </w:r>
      <w:r>
        <w:rPr>
          <w:rFonts w:ascii="Times New Roman" w:cs="Times New Roman" w:eastAsia="Times New Roman" w:hAnsi="Times New Roman"/>
          <w:sz w:val="18"/>
          <w:szCs w:val="18"/>
          <w:color w:val="auto"/>
        </w:rPr>
        <w:t>” In the event the Company fails to make Disclosure Delay Payments in a timely manner in accordance with the foregoing, such Disclosure Delay Payments shall bear interest at the rate of two percent (2%) per month (prorated for partial months) until paid in full.</w:t>
      </w:r>
    </w:p>
    <w:p>
      <w:pPr>
        <w:spacing w:after="0" w:line="1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80"/>
          </w:cols>
          <w:pgMar w:left="880" w:top="270" w:right="439" w:bottom="1440" w:gutter="0" w:footer="0" w:header="0"/>
        </w:sectPr>
      </w:pPr>
    </w:p>
    <w:bookmarkStart w:id="41" w:name="page42"/>
    <w:bookmarkEnd w:id="41"/>
    <w:p>
      <w:pPr>
        <w:ind w:left="1160" w:hanging="321"/>
        <w:spacing w:after="0"/>
        <w:tabs>
          <w:tab w:leader="none" w:pos="1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 of this Agreement the following definitions shall apply:</w:t>
      </w:r>
    </w:p>
    <w:p>
      <w:pPr>
        <w:spacing w:after="0" w:line="113" w:lineRule="exact"/>
        <w:rPr>
          <w:rFonts w:ascii="Times New Roman" w:cs="Times New Roman" w:eastAsia="Times New Roman" w:hAnsi="Times New Roman"/>
          <w:sz w:val="18"/>
          <w:szCs w:val="18"/>
          <w:color w:val="auto"/>
        </w:rPr>
      </w:pPr>
    </w:p>
    <w:p>
      <w:pPr>
        <w:ind w:left="1660" w:hanging="292"/>
        <w:spacing w:after="0"/>
        <w:tabs>
          <w:tab w:leader="none" w:pos="166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Failure Market Price</w:t>
      </w:r>
      <w:r>
        <w:rPr>
          <w:rFonts w:ascii="Times New Roman" w:cs="Times New Roman" w:eastAsia="Times New Roman" w:hAnsi="Times New Roman"/>
          <w:sz w:val="18"/>
          <w:szCs w:val="18"/>
          <w:color w:val="auto"/>
        </w:rPr>
        <w:t>” means, as of any Disclosure Delay Payment Date, the price computed as the quotient of</w:t>
      </w:r>
    </w:p>
    <w:p>
      <w:pPr>
        <w:spacing w:after="0" w:line="31" w:lineRule="exact"/>
        <w:rPr>
          <w:rFonts w:ascii="Times New Roman" w:cs="Times New Roman" w:eastAsia="Times New Roman" w:hAnsi="Times New Roman"/>
          <w:sz w:val="18"/>
          <w:szCs w:val="18"/>
          <w:color w:val="auto"/>
        </w:rPr>
      </w:pPr>
    </w:p>
    <w:p>
      <w:pPr>
        <w:ind w:left="960" w:right="80" w:firstLine="7"/>
        <w:spacing w:after="0" w:line="253" w:lineRule="auto"/>
        <w:tabs>
          <w:tab w:leader="none" w:pos="118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five (5) highest VWAPs (as defined in the Notes) of the Common Stock during the applicable Disclosure Restitution Period (as defined below), divided by (II) five (5) (such period, the </w:t>
      </w:r>
      <w:r>
        <w:rPr>
          <w:rFonts w:ascii="Times New Roman" w:cs="Times New Roman" w:eastAsia="Times New Roman" w:hAnsi="Times New Roman"/>
          <w:sz w:val="18"/>
          <w:szCs w:val="18"/>
          <w:b w:val="1"/>
          <w:bCs w:val="1"/>
          <w:color w:val="auto"/>
        </w:rPr>
        <w:t>“Disclosure Failure Measuring Period</w:t>
      </w:r>
      <w:r>
        <w:rPr>
          <w:rFonts w:ascii="Times New Roman" w:cs="Times New Roman" w:eastAsia="Times New Roman" w:hAnsi="Times New Roman"/>
          <w:sz w:val="18"/>
          <w:szCs w:val="18"/>
          <w:color w:val="auto"/>
        </w:rPr>
        <w:t>”). All such determinations to be appropriately adjusted for any share dividend, share split, share combination, reclassification or similar transaction that proportionately decreases or increases the Common Stock during such Disclosure Failure Measuring Period.</w:t>
      </w:r>
    </w:p>
    <w:p>
      <w:pPr>
        <w:spacing w:after="0" w:line="76" w:lineRule="exact"/>
        <w:rPr>
          <w:rFonts w:ascii="Times New Roman" w:cs="Times New Roman" w:eastAsia="Times New Roman" w:hAnsi="Times New Roman"/>
          <w:sz w:val="18"/>
          <w:szCs w:val="18"/>
          <w:color w:val="auto"/>
        </w:rPr>
      </w:pPr>
    </w:p>
    <w:p>
      <w:pPr>
        <w:ind w:left="960" w:right="40" w:firstLine="408"/>
        <w:spacing w:after="0" w:line="272" w:lineRule="auto"/>
        <w:tabs>
          <w:tab w:leader="none" w:pos="1646" w:val="left"/>
        </w:tabs>
        <w:numPr>
          <w:ilvl w:val="3"/>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Disclosure Restitution Amount</w:t>
      </w:r>
      <w:r>
        <w:rPr>
          <w:rFonts w:ascii="Times New Roman" w:cs="Times New Roman" w:eastAsia="Times New Roman" w:hAnsi="Times New Roman"/>
          <w:sz w:val="17"/>
          <w:szCs w:val="17"/>
          <w:color w:val="auto"/>
        </w:rPr>
        <w:t>” means, as of any Disclosure Delay Payment Date, the product of (x) difference of (I) the Disclosure Failure Market Price less (II) the lowest purchase price, per share of Common Stock, of any Common Stock issued or issuable to such Buyer pursuant to this Agreement or any other Transaction Documents, multiplied by (y) 10% of the aggregate daily dollar trading volume (as reported on Bloomberg (as defined in the Notes)) of the Common Stock on the Principal Market for each Trading Day either</w:t>
      </w:r>
    </w:p>
    <w:p>
      <w:pPr>
        <w:ind w:left="960"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with respect to the initial Disclosure Delay Payment Date, during the period commencing on the applicable Required Disclosure Date through and including the Trading Day immediately prior to the initial Disclosure Delay Payment Date or (2) with respect to each other Disclosure Delay Payment Date, during the period commencing the immediately preceding Disclosure Delay Payment Date through and including the Trading Day immediately prior to such applicable Disclosure Delay Payment Date (such applicable period, the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Restitution Period</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7"/>
          <w:szCs w:val="17"/>
          <w:color w:val="auto"/>
        </w:rPr>
      </w:pPr>
    </w:p>
    <w:p>
      <w:pPr>
        <w:ind w:left="420" w:right="280" w:firstLine="419"/>
        <w:spacing w:after="0" w:line="217" w:lineRule="auto"/>
        <w:tabs>
          <w:tab w:leader="none" w:pos="11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Disclosure Date</w:t>
      </w:r>
      <w:r>
        <w:rPr>
          <w:rFonts w:ascii="Times New Roman" w:cs="Times New Roman" w:eastAsia="Times New Roman" w:hAnsi="Times New Roman"/>
          <w:sz w:val="18"/>
          <w:szCs w:val="18"/>
          <w:color w:val="auto"/>
        </w:rPr>
        <w:t>” means (x) if such Buyer authorized the delivery of such Confidential Information, either (I) if the Company and such Buyer have mutually agreed upon a date (as evidenced by an e-mail or other writing) of Disclosure of such Confidential Information, such agreed upon date or (II) otherwise,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after the date such Buyer first received any Confidential Information or (y) if such Buyer did not authorize the delivery of such Confidential Information,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after such Buyer’s receipt of such Confidential Information.</w:t>
      </w:r>
    </w:p>
    <w:p>
      <w:pPr>
        <w:spacing w:after="0" w:line="197" w:lineRule="exact"/>
        <w:rPr>
          <w:rFonts w:ascii="Times New Roman" w:cs="Times New Roman" w:eastAsia="Times New Roman" w:hAnsi="Times New Roman"/>
          <w:sz w:val="18"/>
          <w:szCs w:val="18"/>
          <w:color w:val="auto"/>
        </w:rPr>
      </w:pPr>
    </w:p>
    <w:p>
      <w:pPr>
        <w:ind w:left="-20" w:firstLine="436"/>
        <w:spacing w:after="0" w:line="253"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Statements</w:t>
      </w:r>
      <w:r>
        <w:rPr>
          <w:rFonts w:ascii="Times New Roman" w:cs="Times New Roman" w:eastAsia="Times New Roman" w:hAnsi="Times New Roman"/>
          <w:sz w:val="18"/>
          <w:szCs w:val="18"/>
          <w:color w:val="auto"/>
        </w:rPr>
        <w:t>. Until the Applicable Date (as defined below) and at any time thereafter while any Registration Statement is not effective or the prospectus contained therein is not available for use or any Current Public Information Failure (as defined in the Registration Rights Agreement) exists, the Company shall not file a registration statement or an offering statement under the 1933 Act relating to securities that are not the Underlying Securities (other than a registration statement on Form S-8 or such supplements or amendments to registration statements that are outstanding and have been declared effective by the SEC as of the date hereof (solely to the extent necessary to keep such registration statements effective and available and not with respect to any Subsequent Placement (as defined below))). “</w:t>
      </w:r>
      <w:r>
        <w:rPr>
          <w:rFonts w:ascii="Times New Roman" w:cs="Times New Roman" w:eastAsia="Times New Roman" w:hAnsi="Times New Roman"/>
          <w:sz w:val="18"/>
          <w:szCs w:val="18"/>
          <w:b w:val="1"/>
          <w:bCs w:val="1"/>
          <w:color w:val="auto"/>
        </w:rPr>
        <w:t>Applicable Date</w:t>
      </w:r>
      <w:r>
        <w:rPr>
          <w:rFonts w:ascii="Times New Roman" w:cs="Times New Roman" w:eastAsia="Times New Roman" w:hAnsi="Times New Roman"/>
          <w:sz w:val="18"/>
          <w:szCs w:val="18"/>
          <w:color w:val="auto"/>
        </w:rPr>
        <w:t>” means, with respect to any given Closing, the later of (i) the applicable Closing Date and (ii) the earlier of (x) the first date on which the resale by the Buyers of all the Registrable Securities required to be filed on the initial Registration Statement with respect to such Closing pursuant to the Registration Rights Agreement is declared effective by the SEC (and each prospectus contained therein is available for use on such date) or (y) the first date on which all of the Registrable Securities with respect to the Securities issued at such Closing are eligible to be resold by the Buyers pursuant to Rule 144 (or, if a Current Public Information Failure has occurred and is continuing, such later date after which the Company has cured such Current Public Information Failure).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60" w:top="270" w:right="459" w:bottom="1440" w:gutter="0" w:footer="0" w:header="0"/>
        </w:sectPr>
      </w:pPr>
    </w:p>
    <w:bookmarkStart w:id="42" w:name="page43"/>
    <w:bookmarkEnd w:id="42"/>
    <w:p>
      <w:pPr>
        <w:ind w:left="4" w:right="100" w:firstLine="436"/>
        <w:spacing w:after="0" w:line="270" w:lineRule="auto"/>
        <w:tabs>
          <w:tab w:leader="none" w:pos="69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Issuance of Securities</w:t>
      </w:r>
      <w:r>
        <w:rPr>
          <w:rFonts w:ascii="Times New Roman" w:cs="Times New Roman" w:eastAsia="Times New Roman" w:hAnsi="Times New Roman"/>
          <w:sz w:val="17"/>
          <w:szCs w:val="17"/>
          <w:color w:val="auto"/>
        </w:rPr>
        <w:t>. Until the later of (x) the Additional Closing Expiration Date and (y) such date no Notes remain outstanding (such later date, the “</w:t>
      </w:r>
      <w:r>
        <w:rPr>
          <w:rFonts w:ascii="Times New Roman" w:cs="Times New Roman" w:eastAsia="Times New Roman" w:hAnsi="Times New Roman"/>
          <w:sz w:val="17"/>
          <w:szCs w:val="17"/>
          <w:b w:val="1"/>
          <w:bCs w:val="1"/>
          <w:color w:val="auto"/>
        </w:rPr>
        <w:t>Covenant Defeasance Date</w:t>
      </w:r>
      <w:r>
        <w:rPr>
          <w:rFonts w:ascii="Times New Roman" w:cs="Times New Roman" w:eastAsia="Times New Roman" w:hAnsi="Times New Roman"/>
          <w:sz w:val="17"/>
          <w:szCs w:val="17"/>
          <w:color w:val="auto"/>
        </w:rPr>
        <w:t>”), the Company will not, without the prior written consent of the Required Holders, issue any Notes (other than to the Buyers as contemplated hereby) and the Company shall not issue any other securities that would cause a breach or default under the Note. The Company agrees that (A) for the period commencing on the date hereof and ending on the date immediately following the fortieth</w:t>
      </w:r>
    </w:p>
    <w:p>
      <w:pPr>
        <w:spacing w:after="0" w:line="2" w:lineRule="exact"/>
        <w:rPr>
          <w:rFonts w:ascii="Times New Roman" w:cs="Times New Roman" w:eastAsia="Times New Roman" w:hAnsi="Times New Roman"/>
          <w:sz w:val="17"/>
          <w:szCs w:val="17"/>
          <w:color w:val="auto"/>
        </w:rPr>
      </w:pPr>
    </w:p>
    <w:p>
      <w:pPr>
        <w:ind w:left="4" w:right="20"/>
        <w:spacing w:after="0" w:line="2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17"/>
          <w:szCs w:val="17"/>
          <w:color w:val="auto"/>
        </w:rPr>
        <w:t>)Trading Day after the Applicable Date with respect to the Initial Closing Date, and (B) for each period commencing on the applicable Additional Closing Notice Date for such applicable Additional Closing and ending on the twentieth (20</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17"/>
          <w:szCs w:val="17"/>
          <w:color w:val="auto"/>
        </w:rPr>
        <w:t>) Trading Day after the Applicable Date for such Additional Closing; provided, that, each such period in clause (A) and (B) above, shall be extended by the number of calendar days during such period and any extension thereof contemplated by this proviso on which any Registration Statement is not effective or any prospectus contained therein is not available for use or any Current Public Information Failure exists (each, a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Common Stock Equivalents, any debt,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17"/>
          <w:szCs w:val="17"/>
          <w:b w:val="1"/>
          <w:bCs w:val="1"/>
          <w:color w:val="auto"/>
        </w:rPr>
        <w:t>Subsequent Placement</w:t>
      </w:r>
      <w:r>
        <w:rPr>
          <w:rFonts w:ascii="Times New Roman" w:cs="Times New Roman" w:eastAsia="Times New Roman" w:hAnsi="Times New Roman"/>
          <w:sz w:val="17"/>
          <w:szCs w:val="17"/>
          <w:color w:val="auto"/>
        </w:rPr>
        <w:t>”). Notwithstanding the foregoing, this Section 4(k) shall not apply in respect of the issuance of</w:t>
      </w:r>
    </w:p>
    <w:p>
      <w:pPr>
        <w:spacing w:after="0" w:line="3"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standard options to purchase Common Stock to directors, officers or employees of the Company in their capacity as such pursuant to an Approved Stock Plan (as defined below), provided that (1) all such issuances (taking into account the shares of Common Stock issuable upon exercise of such options) after the date hereof pursuant to this clause (i) do not, in the aggregate, exceed more than 10% of the Common Stock issued and outstanding immediately prior to the date hereof and (2)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Common Stock Equivalents (other than standard options to purchase Common Stock issued pursuant to an Approved Stock Plan that are covered by clause (i) above) issued prior to the date hereof, provided that the conversion, exercise or other method of issuance (as the case may be) of any such Common Stock Equivalent is made solely pursuant to the conversion, exercise or other method of issuance (as the case may be) provisions of such Common Stock Equivalent that were in effect on the date immediately prior to the date of this Agreement, the conversion, exercise or issuance price of any such Common Stock Equivalents (other than standard options to purchase Common Stock issued pursuant to an Approved Stock Plan that are covered by clause (i) above) is not lowered, none of such Common Stock Equivalents (other than standard options to purchase Common Stock issued pursuant to an Approved Stock Plan that are covered by clause (i) above)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43" w:name="page44"/>
    <w:bookmarkEnd w:id="4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amended to increase the number of shares issuable thereunder and none of the terms or conditions of any such Common Stock Equivalents (other than standard options to purchase Common Stock issued pursuant to an Approved Stock Plan that are covered by clause (i) above) are otherwise materially changed in any manner that adversely affects any of the Buyers; (iii) the Conversion Shares; and (iv) the shares of Common Stock issued or issuable pursuant to a Permitted VRT (as defined below) (each of the foregoing in clauses (i) through (iv), collectively the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For the purpose of this Agreement, the following definitions shall apply: (i) “</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or director for services provided to the Company in their capacity as such; and (ii) “</w:t>
      </w:r>
      <w:r>
        <w:rPr>
          <w:rFonts w:ascii="Times New Roman" w:cs="Times New Roman" w:eastAsia="Times New Roman" w:hAnsi="Times New Roman"/>
          <w:sz w:val="18"/>
          <w:szCs w:val="18"/>
          <w:b w:val="1"/>
          <w:bCs w:val="1"/>
          <w:color w:val="auto"/>
        </w:rPr>
        <w:t>Permitted VRT</w:t>
      </w:r>
      <w:r>
        <w:rPr>
          <w:rFonts w:ascii="Times New Roman" w:cs="Times New Roman" w:eastAsia="Times New Roman" w:hAnsi="Times New Roman"/>
          <w:sz w:val="18"/>
          <w:szCs w:val="18"/>
          <w:color w:val="auto"/>
        </w:rPr>
        <w:t>” means (x) any at-the-market offering of the Company in an arms-length transaction with a bona fide broker-dealer acceptable to the Required Holders, in their sole discretion (each, a “</w:t>
      </w:r>
      <w:r>
        <w:rPr>
          <w:rFonts w:ascii="Times New Roman" w:cs="Times New Roman" w:eastAsia="Times New Roman" w:hAnsi="Times New Roman"/>
          <w:sz w:val="18"/>
          <w:szCs w:val="18"/>
          <w:b w:val="1"/>
          <w:bCs w:val="1"/>
          <w:color w:val="auto"/>
        </w:rPr>
        <w:t>Permitted ATM</w:t>
      </w:r>
      <w:r>
        <w:rPr>
          <w:rFonts w:ascii="Times New Roman" w:cs="Times New Roman" w:eastAsia="Times New Roman" w:hAnsi="Times New Roman"/>
          <w:sz w:val="18"/>
          <w:szCs w:val="18"/>
          <w:color w:val="auto"/>
        </w:rPr>
        <w:t>”) and (y) any equity line of credit entered into by the Company on terms and conditions acceptable to the Required Holders, in their sole discretion (each, a “</w:t>
      </w:r>
      <w:r>
        <w:rPr>
          <w:rFonts w:ascii="Times New Roman" w:cs="Times New Roman" w:eastAsia="Times New Roman" w:hAnsi="Times New Roman"/>
          <w:sz w:val="18"/>
          <w:szCs w:val="18"/>
          <w:b w:val="1"/>
          <w:bCs w:val="1"/>
          <w:color w:val="auto"/>
        </w:rPr>
        <w:t>Permitted Equity Line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 w:firstLine="436"/>
        <w:spacing w:after="0" w:line="25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Until the Covenant Defeasance Date, the Company shall take all action necessary to at all times have authorized, and reserved for the purpose of issuance, no less than 100% of the maximum number of Conversion Shares issuable upon conversion of the Notes then outstanding (assuming for purposes hereof that (w) all Additional Notes issuable hereunder shall have been issued at an Additional Closing on the Initial Closing Date, (x) the Notes are convertible at the Floor Price (as defined in the Notes) as of such applicable date of determination, (y) interest on the Notes shall accrue through the twenty-four (24) month anniversary of the Initial Closing Date and will be converted into shares of Common Stock at a conversion price equal to the Floor Price as of such applicable date of determination and (z) any such conversion shall not take into account any limitations on the conversion of the Notes set forth in the Notes), (collectively,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provided that at no time shall the number of shares of Common Stock reserved pursuant to this Section 4(l) be reduced other than proportionally in connection with any conversion, exercise, required issuance, and/or redemption, as applicable, of Notes.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97" w:lineRule="exact"/>
        <w:rPr>
          <w:rFonts w:ascii="Times New Roman" w:cs="Times New Roman" w:eastAsia="Times New Roman" w:hAnsi="Times New Roman"/>
          <w:sz w:val="18"/>
          <w:szCs w:val="18"/>
          <w:color w:val="auto"/>
        </w:rPr>
      </w:pPr>
    </w:p>
    <w:p>
      <w:pPr>
        <w:ind w:firstLine="436"/>
        <w:spacing w:after="0" w:line="266" w:lineRule="auto"/>
        <w:tabs>
          <w:tab w:leader="none" w:pos="7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4" w:name="page45"/>
    <w:bookmarkEnd w:id="44"/>
    <w:p>
      <w:pPr>
        <w:ind w:firstLine="436"/>
        <w:spacing w:after="0" w:line="253"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Notes; Variable Securities</w:t>
      </w:r>
      <w:r>
        <w:rPr>
          <w:rFonts w:ascii="Times New Roman" w:cs="Times New Roman" w:eastAsia="Times New Roman" w:hAnsi="Times New Roman"/>
          <w:sz w:val="18"/>
          <w:szCs w:val="18"/>
          <w:color w:val="auto"/>
        </w:rPr>
        <w:t>. Until the Covenant Defeasance Date, the Company and each Subsidiary shall be prohibited from effecting or entering into an agreement to effect any Subsequent Placement involving a Variable Rate Transaction (other than a Permitted VRT). “</w:t>
      </w:r>
      <w:r>
        <w:rPr>
          <w:rFonts w:ascii="Times New Roman" w:cs="Times New Roman" w:eastAsia="Times New Roman" w:hAnsi="Times New Roman"/>
          <w:sz w:val="18"/>
          <w:szCs w:val="18"/>
          <w:b w:val="1"/>
          <w:bCs w:val="1"/>
          <w:color w:val="auto"/>
        </w:rPr>
        <w:t>Variable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a transaction in which the Company or any Subsidiary (i) issues or sells any Common Stock Equivalents either (A) at a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or exchange rate or other price that is based upon and/or varies with the trading prices of or quotations for the shares of Common Stock at any time after the initial issuance of such Common Stock Equivalents, or (B) with a conversion, exercise or exchange price that is subject to being reset at some future date after the initial issuance of such Common Stock Equivalents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191" w:lineRule="exact"/>
        <w:rPr>
          <w:rFonts w:ascii="Times New Roman" w:cs="Times New Roman" w:eastAsia="Times New Roman" w:hAnsi="Times New Roman"/>
          <w:sz w:val="18"/>
          <w:szCs w:val="18"/>
          <w:color w:val="auto"/>
        </w:rPr>
      </w:pPr>
    </w:p>
    <w:p>
      <w:pPr>
        <w:jc w:val="both"/>
        <w:ind w:right="260" w:firstLine="436"/>
        <w:spacing w:after="0" w:line="230"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At any time on or prior to the second (2</w:t>
      </w:r>
      <w:r>
        <w:rPr>
          <w:rFonts w:ascii="Times New Roman" w:cs="Times New Roman" w:eastAsia="Times New Roman" w:hAnsi="Times New Roman"/>
          <w:sz w:val="26"/>
          <w:szCs w:val="26"/>
          <w:u w:val="single" w:color="auto"/>
          <w:color w:val="auto"/>
          <w:vertAlign w:val="superscript"/>
        </w:rPr>
        <w:t>nd</w:t>
      </w:r>
      <w:r>
        <w:rPr>
          <w:rFonts w:ascii="Times New Roman" w:cs="Times New Roman" w:eastAsia="Times New Roman" w:hAnsi="Times New Roman"/>
          <w:sz w:val="18"/>
          <w:szCs w:val="18"/>
          <w:color w:val="auto"/>
        </w:rPr>
        <w:t>) anniversary of the Initial Closing Date (or, if later, the date no Notes remain outstanding), neither the Company nor any of its Subsidiaries shall, directly or indirectly, effect any Subsequent Placement unless the Company shall have first complied with this Section 4(o). The Company acknowledges and agrees that the right set forth in this Section 4(o) is a right granted by the Company, separately, to each Buyer.</w:t>
      </w:r>
    </w:p>
    <w:p>
      <w:pPr>
        <w:spacing w:after="0" w:line="90" w:lineRule="exact"/>
        <w:rPr>
          <w:rFonts w:ascii="Times New Roman" w:cs="Times New Roman" w:eastAsia="Times New Roman" w:hAnsi="Times New Roman"/>
          <w:sz w:val="18"/>
          <w:szCs w:val="18"/>
          <w:color w:val="auto"/>
        </w:rPr>
      </w:pPr>
    </w:p>
    <w:p>
      <w:pPr>
        <w:ind w:left="440" w:firstLine="419"/>
        <w:spacing w:after="0" w:line="267" w:lineRule="auto"/>
        <w:tabs>
          <w:tab w:leader="none" w:pos="107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five (5) Trading Days prior to any proposed or intended Subsequent Placement, the Company shall deliver to each Buyer a written notice (each such notice, a “</w:t>
      </w:r>
      <w:r>
        <w:rPr>
          <w:rFonts w:ascii="Times New Roman" w:cs="Times New Roman" w:eastAsia="Times New Roman" w:hAnsi="Times New Roman"/>
          <w:sz w:val="17"/>
          <w:szCs w:val="17"/>
          <w:b w:val="1"/>
          <w:bCs w:val="1"/>
          <w:color w:val="auto"/>
        </w:rPr>
        <w:t>Pre-Notice</w:t>
      </w:r>
      <w:r>
        <w:rPr>
          <w:rFonts w:ascii="Times New Roman" w:cs="Times New Roman" w:eastAsia="Times New Roman" w:hAnsi="Times New Roman"/>
          <w:sz w:val="17"/>
          <w:szCs w:val="17"/>
          <w:color w:val="auto"/>
        </w:rPr>
        <w:t>”), which Pre-Notice shall not contain any information (including, without limitation, material, non-public information) other than: (A) if the proposed Offer Notice (as defined below) constitutes or contains material, non-public information, a statement asking whether the Investor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Buyer that it is entitled to receive an Offer Notice (as defined below) with respect to such Subsequent Placement upon its written request. Upon the written request of a Buyer within three (3)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Times New Roman" w:cs="Times New Roman" w:eastAsia="Times New Roman" w:hAnsi="Times New Roman"/>
          <w:sz w:val="17"/>
          <w:szCs w:val="17"/>
          <w:b w:val="1"/>
          <w:bCs w:val="1"/>
          <w:color w:val="auto"/>
        </w:rPr>
        <w:t>Offer Notice</w:t>
      </w:r>
      <w:r>
        <w:rPr>
          <w:rFonts w:ascii="Times New Roman" w:cs="Times New Roman" w:eastAsia="Times New Roman" w:hAnsi="Times New Roman"/>
          <w:sz w:val="17"/>
          <w:szCs w:val="17"/>
          <w:color w:val="auto"/>
        </w:rPr>
        <w:t>”) of any proposed or intended issuance or sale or exchange (the “</w:t>
      </w:r>
      <w:r>
        <w:rPr>
          <w:rFonts w:ascii="Times New Roman" w:cs="Times New Roman" w:eastAsia="Times New Roman" w:hAnsi="Times New Roman"/>
          <w:sz w:val="17"/>
          <w:szCs w:val="17"/>
          <w:b w:val="1"/>
          <w:bCs w:val="1"/>
          <w:color w:val="auto"/>
        </w:rPr>
        <w:t>Offer</w:t>
      </w:r>
      <w:r>
        <w:rPr>
          <w:rFonts w:ascii="Times New Roman" w:cs="Times New Roman" w:eastAsia="Times New Roman" w:hAnsi="Times New Roman"/>
          <w:sz w:val="17"/>
          <w:szCs w:val="17"/>
          <w:color w:val="auto"/>
        </w:rPr>
        <w:t>”) of the securities being offered (the “</w:t>
      </w:r>
      <w:r>
        <w:rPr>
          <w:rFonts w:ascii="Times New Roman" w:cs="Times New Roman" w:eastAsia="Times New Roman" w:hAnsi="Times New Roman"/>
          <w:sz w:val="17"/>
          <w:szCs w:val="17"/>
          <w:b w:val="1"/>
          <w:bCs w:val="1"/>
          <w:color w:val="auto"/>
        </w:rPr>
        <w:t>Offered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in a Subsequent Placement, which Offer Notice shall (A) identify and describe the Offered Securities, (B) describe the price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upon which they are to be issued, sold or exchanged, and the number or amount of the Offered Securities to be issued, sold or exchanged,</w:t>
      </w:r>
    </w:p>
    <w:p>
      <w:pPr>
        <w:ind w:left="440" w:right="3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identify the Persons (if known) to which or with which the Offered Securities are to be offered, issued, sold or exchanged and (D) offer to issue and sell to or exchange with such Buyer in accordance with the terms of the Offer such Buyer’s pro rata portion of 55% of the Offered Securities, provided that the number of Offered Securities which such Buyer shall have the right to subscribe for under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5" w:name="page46"/>
    <w:bookmarkEnd w:id="45"/>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4(o) shall be (x) based on such Buyer’s pro rata portion of the aggregate original principal amount of the Notes purchased hereunder by all Buyers (the “</w:t>
      </w:r>
      <w:r>
        <w:rPr>
          <w:rFonts w:ascii="Times New Roman" w:cs="Times New Roman" w:eastAsia="Times New Roman" w:hAnsi="Times New Roman"/>
          <w:sz w:val="18"/>
          <w:szCs w:val="18"/>
          <w:b w:val="1"/>
          <w:bCs w:val="1"/>
          <w:color w:val="auto"/>
        </w:rPr>
        <w:t>Basic Amount</w:t>
      </w:r>
      <w:r>
        <w:rPr>
          <w:rFonts w:ascii="Times New Roman" w:cs="Times New Roman" w:eastAsia="Times New Roman" w:hAnsi="Times New Roman"/>
          <w:sz w:val="18"/>
          <w:szCs w:val="18"/>
          <w:color w:val="auto"/>
        </w:rPr>
        <w:t>”), and (y)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 w:cs="Times New Roman" w:eastAsia="Times New Roman" w:hAnsi="Times New Roman"/>
          <w:sz w:val="18"/>
          <w:szCs w:val="18"/>
          <w:b w:val="1"/>
          <w:bCs w:val="1"/>
          <w:color w:val="auto"/>
        </w:rPr>
        <w:t>Undersubscription Amount</w:t>
      </w:r>
      <w:r>
        <w:rPr>
          <w:rFonts w:ascii="Times New Roman" w:cs="Times New Roman" w:eastAsia="Times New Roman" w:hAnsi="Times New Roman"/>
          <w:sz w:val="18"/>
          <w:szCs w:val="18"/>
          <w:color w:val="auto"/>
        </w:rPr>
        <w:t>”), which process shall be repeated until each Buyer shall have an opportunity to subscribe for any remaining Undersubscription Amount.</w:t>
      </w:r>
    </w:p>
    <w:p>
      <w:pPr>
        <w:spacing w:after="0" w:line="75" w:lineRule="exact"/>
        <w:rPr>
          <w:sz w:val="20"/>
          <w:szCs w:val="20"/>
          <w:color w:val="auto"/>
        </w:rPr>
      </w:pPr>
    </w:p>
    <w:p>
      <w:pPr>
        <w:ind w:firstLine="419"/>
        <w:spacing w:after="0" w:line="235" w:lineRule="auto"/>
        <w:tabs>
          <w:tab w:leader="none" w:pos="6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an Offer, in whole or in part, such Buyer must deliver a written notice to the Company prior to the end of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such Buyer’s receipt of the Offer Notice (the “</w:t>
      </w:r>
      <w:r>
        <w:rPr>
          <w:rFonts w:ascii="Times New Roman" w:cs="Times New Roman" w:eastAsia="Times New Roman" w:hAnsi="Times New Roman"/>
          <w:sz w:val="18"/>
          <w:szCs w:val="18"/>
          <w:b w:val="1"/>
          <w:bCs w:val="1"/>
          <w:color w:val="auto"/>
        </w:rPr>
        <w:t>Offer Period</w:t>
      </w:r>
      <w:r>
        <w:rPr>
          <w:rFonts w:ascii="Times New Roman" w:cs="Times New Roman" w:eastAsia="Times New Roman" w:hAnsi="Times New Roman"/>
          <w:sz w:val="18"/>
          <w:szCs w:val="18"/>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Times New Roman" w:cs="Times New Roman" w:eastAsia="Times New Roman" w:hAnsi="Times New Roman"/>
          <w:sz w:val="18"/>
          <w:szCs w:val="18"/>
          <w:b w:val="1"/>
          <w:bCs w:val="1"/>
          <w:color w:val="auto"/>
        </w:rPr>
        <w:t>Notice of Acceptance</w:t>
      </w:r>
      <w:r>
        <w:rPr>
          <w:rFonts w:ascii="Times New Roman" w:cs="Times New Roman" w:eastAsia="Times New Roman" w:hAnsi="Times New Roman"/>
          <w:sz w:val="18"/>
          <w:szCs w:val="18"/>
          <w:color w:val="auto"/>
        </w:rPr>
        <w:t>”). If the Basic Amounts subscribed for by all Buyers are less than the total of all of the Basic Amounts, then each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cs="Times New Roman" w:eastAsia="Times New Roman" w:hAnsi="Times New Roman"/>
          <w:sz w:val="18"/>
          <w:szCs w:val="18"/>
          <w:b w:val="1"/>
          <w:bCs w:val="1"/>
          <w:color w:val="auto"/>
        </w:rPr>
        <w:t>Available Undersubscription Amount</w:t>
      </w:r>
      <w:r>
        <w:rPr>
          <w:rFonts w:ascii="Times New Roman" w:cs="Times New Roman" w:eastAsia="Times New Roman" w:hAnsi="Times New Roman"/>
          <w:sz w:val="18"/>
          <w:szCs w:val="18"/>
          <w:color w:val="auto"/>
        </w:rPr>
        <w:t>”),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such Buyer’s receipt of such new Offer Notice.</w:t>
      </w:r>
    </w:p>
    <w:p>
      <w:pPr>
        <w:spacing w:after="0" w:line="101" w:lineRule="exact"/>
        <w:rPr>
          <w:rFonts w:ascii="Times New Roman" w:cs="Times New Roman" w:eastAsia="Times New Roman" w:hAnsi="Times New Roman"/>
          <w:sz w:val="18"/>
          <w:szCs w:val="18"/>
          <w:color w:val="auto"/>
        </w:rPr>
      </w:pPr>
    </w:p>
    <w:p>
      <w:pPr>
        <w:ind w:right="40" w:firstLine="419"/>
        <w:spacing w:after="0" w:line="254" w:lineRule="auto"/>
        <w:tabs>
          <w:tab w:leader="none" w:pos="7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five (5)Business Days from the expiration of the Offer Period above (A) to offer, issue, sell or exchange all or any part of such Offered Securities as to which a Notice of Acceptance has not been given by a Buyer (the “</w:t>
      </w:r>
      <w:r>
        <w:rPr>
          <w:rFonts w:ascii="Times New Roman" w:cs="Times New Roman" w:eastAsia="Times New Roman" w:hAnsi="Times New Roman"/>
          <w:sz w:val="18"/>
          <w:szCs w:val="18"/>
          <w:b w:val="1"/>
          <w:bCs w:val="1"/>
          <w:color w:val="auto"/>
        </w:rPr>
        <w:t>Refused Securities</w:t>
      </w:r>
      <w:r>
        <w:rPr>
          <w:rFonts w:ascii="Times New Roman" w:cs="Times New Roman" w:eastAsia="Times New Roman" w:hAnsi="Times New Roman"/>
          <w:sz w:val="18"/>
          <w:szCs w:val="18"/>
          <w:color w:val="auto"/>
        </w:rPr>
        <w:t>”) pursuant to a definitive agreement(s) (the “</w:t>
      </w:r>
      <w:r>
        <w:rPr>
          <w:rFonts w:ascii="Times New Roman" w:cs="Times New Roman" w:eastAsia="Times New Roman" w:hAnsi="Times New Roman"/>
          <w:sz w:val="18"/>
          <w:szCs w:val="18"/>
          <w:b w:val="1"/>
          <w:bCs w:val="1"/>
          <w:color w:val="auto"/>
        </w:rPr>
        <w:t>Subsequent Placement Agreement</w:t>
      </w:r>
      <w:r>
        <w:rPr>
          <w:rFonts w:ascii="Times New Roman" w:cs="Times New Roman" w:eastAsia="Times New Roman" w:hAnsi="Times New Roman"/>
          <w:sz w:val="18"/>
          <w:szCs w:val="18"/>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Current Report on Form 8-K with such Subsequent Placement Agreement and any documents contemplated therein filed as exhibits thereto.</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46" w:name="page47"/>
    <w:bookmarkEnd w:id="46"/>
    <w:p>
      <w:pPr>
        <w:ind w:left="4" w:firstLine="419"/>
        <w:spacing w:after="0" w:line="254" w:lineRule="auto"/>
        <w:tabs>
          <w:tab w:leader="none" w:pos="73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Company shall propose to sell less than all the Refused Securities (any such sale to be in the manner and on the terms specified in Section 4(o)(iii) above), then each Buyer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Buyer elected to purchase pursuant to Section 4(o)(ii) above multiplied by a fraction, (i) the numerator of which shall be the number or amount of Offered Securities the Company actually proposes to issue, sell or exchange (including Offered Securities to be issued or sold to Buyers pursuant to this Section 4(o)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4(o)(i) above.</w:t>
      </w:r>
    </w:p>
    <w:p>
      <w:pPr>
        <w:spacing w:after="0" w:line="80" w:lineRule="exact"/>
        <w:rPr>
          <w:rFonts w:ascii="Times New Roman" w:cs="Times New Roman" w:eastAsia="Times New Roman" w:hAnsi="Times New Roman"/>
          <w:sz w:val="18"/>
          <w:szCs w:val="18"/>
          <w:color w:val="auto"/>
        </w:rPr>
      </w:pPr>
    </w:p>
    <w:p>
      <w:pPr>
        <w:ind w:left="4" w:right="300" w:firstLine="419"/>
        <w:spacing w:after="0" w:line="258" w:lineRule="auto"/>
        <w:tabs>
          <w:tab w:leader="none" w:pos="68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issuance, sale or exchange of all or less than all of the Refused Securities, such Buyer shall acquire from the Company, and the Company shall issue to such Buyer, the number or amount of Offered Securities specified in its Notice of Acceptance, as reduced pursuant to Section 4(o)(iv) above if such Buyer has so elected, upon the terms and conditions specified in the Offer.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75"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73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Offered Securities not acquired by a Buyer or other Persons in accordance with this Section 4(o) may not be issued, sold or exchanged until they are again offered to such Buyer under the procedures specified in this Agreement.</w:t>
      </w:r>
    </w:p>
    <w:p>
      <w:pPr>
        <w:spacing w:after="0" w:line="53"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78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Buyer agree that if any Buyer elects to participate in the Offer, (A) neither the Subsequent Placement Agreement with respect to such Offer nor any other transaction documents related thereto (collectively, the “</w:t>
      </w:r>
      <w:r>
        <w:rPr>
          <w:rFonts w:ascii="Times New Roman" w:cs="Times New Roman" w:eastAsia="Times New Roman" w:hAnsi="Times New Roman"/>
          <w:sz w:val="17"/>
          <w:szCs w:val="17"/>
          <w:b w:val="1"/>
          <w:bCs w:val="1"/>
          <w:color w:val="auto"/>
        </w:rPr>
        <w:t>Subsequent 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shall include any term or provision whereby such Buyer shall be required to agree to any restrictions on trading as to any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or be required to consent to any amendment to or termination of, or grant any waiver, release or the like under or in connection with, any agreement previously entered into with the Company or any instrument received from the Company, (B) the Subsequent Placement Documents shall not include any representation, warranty or covenant more adverse to such Buyer than as set forth in the Transaction Documents,</w:t>
      </w:r>
    </w:p>
    <w:p>
      <w:pPr>
        <w:spacing w:after="0" w:line="4" w:lineRule="exact"/>
        <w:rPr>
          <w:rFonts w:ascii="Times New Roman" w:cs="Times New Roman" w:eastAsia="Times New Roman" w:hAnsi="Times New Roman"/>
          <w:sz w:val="17"/>
          <w:szCs w:val="17"/>
          <w:color w:val="auto"/>
        </w:rPr>
      </w:pPr>
    </w:p>
    <w:p>
      <w:pPr>
        <w:ind w:left="4" w:hanging="4"/>
        <w:spacing w:after="0" w:line="253" w:lineRule="auto"/>
        <w:tabs>
          <w:tab w:leader="none" w:pos="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Offered Securities to be acquired by a Buyer would result in such Buyer’s (together with its Attribution Parties (as defined in the Notes)) beneficial ownership of Common Stock to exceed the Maximum Percentage (as defined in the Notes), such Buyer shall be permitted to receive Offered Securities (whether as an Common Stock Equivalent or otherwise) with a beneficial ownership limitation in the form of Section 3(d) of the Notes,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(D) any registration rights set forth in such Subsequent Placement Documents shall be similar in all material respects to the registration rights contained in the Registration Rights Agreement.</w:t>
      </w:r>
    </w:p>
    <w:p>
      <w:pPr>
        <w:spacing w:after="0" w:line="11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4"/>
          </w:cols>
          <w:pgMar w:left="876" w:top="270" w:right="479" w:bottom="1440" w:gutter="0" w:footer="0" w:header="0"/>
        </w:sectPr>
      </w:pPr>
    </w:p>
    <w:bookmarkStart w:id="47" w:name="page48"/>
    <w:bookmarkEnd w:id="47"/>
    <w:p>
      <w:pPr>
        <w:ind w:left="440" w:firstLine="419"/>
        <w:spacing w:after="0" w:line="242" w:lineRule="auto"/>
        <w:tabs>
          <w:tab w:leader="none" w:pos="12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Section 4(o)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delivery of the Offer Notice. If by such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Section 4(o). The Company shall not be permitted to deliver more than one such Offer Notice to such Buyer in any sixty (60) day period, except as expressly contemplated by the last sentence of Section 4(o)(ii).</w:t>
      </w:r>
    </w:p>
    <w:p>
      <w:pPr>
        <w:spacing w:after="0" w:line="88"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4(o) shall not apply in connection with the issuance of any Excluded Securities. The Company shall not circumvent the provisions of this Section 4(o) by providing terms or conditions to one Buyer that are not provided to all.</w:t>
      </w:r>
    </w:p>
    <w:p>
      <w:pPr>
        <w:spacing w:after="0" w:line="161"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Issuances</w:t>
      </w:r>
      <w:r>
        <w:rPr>
          <w:rFonts w:ascii="Times New Roman" w:cs="Times New Roman" w:eastAsia="Times New Roman" w:hAnsi="Times New Roman"/>
          <w:sz w:val="18"/>
          <w:szCs w:val="18"/>
          <w:color w:val="auto"/>
        </w:rPr>
        <w:t>. Until the Covenant Defeasance Date, the Company shall not, in any manner, enter into or affect any Dilutive Issuance (as defined in the Notes) if the effect of such Dilutive Issuance is to cause the Company to be required to issue upon conversion of any Notes any shares of Common Stock in excess of that number of shares of Common Stock which the Company may issue upon conversion of the Notes without breaching the Company’s obligations under the rules or regulations of the Principal Market.</w:t>
      </w:r>
    </w:p>
    <w:p>
      <w:pPr>
        <w:spacing w:after="0" w:line="179" w:lineRule="exact"/>
        <w:rPr>
          <w:rFonts w:ascii="Times New Roman" w:cs="Times New Roman" w:eastAsia="Times New Roman" w:hAnsi="Times New Roman"/>
          <w:sz w:val="18"/>
          <w:szCs w:val="18"/>
          <w:color w:val="auto"/>
        </w:rPr>
      </w:pPr>
    </w:p>
    <w:p>
      <w:pPr>
        <w:ind w:right="320" w:firstLine="436"/>
        <w:spacing w:after="0" w:line="26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5"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Until the Covenant Defeasance Date, the Company shall not, directly or indirectly, redeem, or declare or pay any cash dividend or distribution on, any securities of the Company (other than with respect to the Shoe Business Sale) without the prior express written consent of the Buyers.</w:t>
      </w:r>
    </w:p>
    <w:p>
      <w:pPr>
        <w:spacing w:after="0" w:line="175"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Until the Covenant Defeasance Date, the Company shall not be party to any Fundamental Transaction (as defined in the Notes) unless the Company is in compliance with the applicable provisions governing Fundamental Transactions set forth in the Notes (other than with respect to the Shoe Business Sale and as described in the Preliminary Proxy Statement).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8" w:name="page49"/>
    <w:bookmarkEnd w:id="48"/>
    <w:p>
      <w:pPr>
        <w:ind w:left="-40" w:right="20" w:firstLine="436"/>
        <w:spacing w:after="0" w:line="261"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Procedures</w:t>
      </w:r>
      <w:r>
        <w:rPr>
          <w:rFonts w:ascii="Times New Roman" w:cs="Times New Roman" w:eastAsia="Times New Roman" w:hAnsi="Times New Roman"/>
          <w:sz w:val="18"/>
          <w:szCs w:val="18"/>
          <w:color w:val="auto"/>
        </w:rPr>
        <w:t>. The form of Conversion Notice (as defined in the Notes) included in the Notes sets forth the totality of the procedures required of the Buyers in order to convert the Notes. Except as provided in Section 5(d), no additional legal opinion, other information or instructions shall be required of the Buyers to convert their Notes. The Company shall honor conversions of the Notes and shall deliver the Conversion Shares in accordance with the terms, conditions and time periods set forth in the Notes.</w:t>
      </w:r>
    </w:p>
    <w:p>
      <w:pPr>
        <w:spacing w:after="0" w:line="179" w:lineRule="exact"/>
        <w:rPr>
          <w:rFonts w:ascii="Times New Roman" w:cs="Times New Roman" w:eastAsia="Times New Roman" w:hAnsi="Times New Roman"/>
          <w:sz w:val="18"/>
          <w:szCs w:val="18"/>
          <w:color w:val="auto"/>
        </w:rPr>
      </w:pPr>
    </w:p>
    <w:p>
      <w:pPr>
        <w:ind w:left="-40" w:firstLine="436"/>
        <w:spacing w:after="0" w:line="25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Each Buyer hereby (i) appoints [*], as the collateral agent hereunder and under the other Security Documents (in such capacity,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and (ii) authorizes the Collateral Agent (and its officers, directors, employees and agents) to take such action on such Buyer’s behalf in accordance with the terms hereof and thereof. The Collateral Agent shall not have, by reason hereof or any of the other Security Documents, a fiduciary relationship in respect of any Buyer. Neither the Collateral Agent nor any of its officers, directors, employees or agents shall have any liability to any Buyer for any action taken or omitted to be taken in connection hereof or any other Security Document except to the extent caused by its own gross negligence or willful misconduct, and each Buyer agrees to defend, protect, indemnify and hold harmless the Collateral Agent and all of its officers, directors, employees and agents (collectively, the “</w:t>
      </w:r>
      <w:r>
        <w:rPr>
          <w:rFonts w:ascii="Times New Roman" w:cs="Times New Roman" w:eastAsia="Times New Roman" w:hAnsi="Times New Roman"/>
          <w:sz w:val="18"/>
          <w:szCs w:val="18"/>
          <w:b w:val="1"/>
          <w:bCs w:val="1"/>
          <w:color w:val="auto"/>
        </w:rPr>
        <w:t>Collateral Agent Indemnitees</w:t>
      </w:r>
      <w:r>
        <w:rPr>
          <w:rFonts w:ascii="Times New Roman" w:cs="Times New Roman" w:eastAsia="Times New Roman" w:hAnsi="Times New Roman"/>
          <w:sz w:val="18"/>
          <w:szCs w:val="18"/>
          <w:color w:val="auto"/>
        </w:rPr>
        <w:t>”) from and against any losses, damages, liabilities, obligations, penalties, actions, judgments, suits, fees, costs and expenses (including, without limitation, reasonable attorneys’ fees, costs and expenses) incurred by such Collateral Agent Indemnitee, whether direct, indirect or consequential, arising from or in connection with the performance by such Collateral Agent Indemnitee of the duties and obligations of Collateral Agent pursuant hereto or any of the Security Documents. The Collateral Agent shall not be required to exercise any discretion or take any action, but shall be required to act or to refrain from acting (and shall be fully protected in so acting or refraining from acting) upon the instructions of the Required Holders, and such instructions shall be binding upon all holders of Notes; provided, however, that the Collateral Agent shall not be required to take any action which, in the reasonable opinion of the Collateral Agent, exposes the Collateral Agent to liability or which is contrary to this Agreement or any other Transaction Document or applicable law. The Collateral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Transaction Documents and its duties hereunder or thereunder, upon advice of counsel selected by it.</w:t>
      </w:r>
    </w:p>
    <w:p>
      <w:pPr>
        <w:spacing w:after="0" w:line="193" w:lineRule="exact"/>
        <w:rPr>
          <w:rFonts w:ascii="Times New Roman" w:cs="Times New Roman" w:eastAsia="Times New Roman" w:hAnsi="Times New Roman"/>
          <w:sz w:val="18"/>
          <w:szCs w:val="18"/>
          <w:color w:val="auto"/>
        </w:rPr>
      </w:pPr>
    </w:p>
    <w:p>
      <w:pPr>
        <w:ind w:left="700" w:hanging="304"/>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Collateral Agent.</w:t>
      </w:r>
    </w:p>
    <w:p>
      <w:pPr>
        <w:spacing w:after="0" w:line="117"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may resign from the performance of all its functions and duties hereunder and under the other Transaction</w:t>
      </w:r>
    </w:p>
    <w:p>
      <w:pPr>
        <w:spacing w:after="0" w:line="27" w:lineRule="exact"/>
        <w:rPr>
          <w:rFonts w:ascii="Times New Roman" w:cs="Times New Roman" w:eastAsia="Times New Roman" w:hAnsi="Times New Roman"/>
          <w:sz w:val="18"/>
          <w:szCs w:val="18"/>
          <w:color w:val="auto"/>
        </w:rPr>
      </w:pPr>
    </w:p>
    <w:p>
      <w:pPr>
        <w:ind w:left="40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at any time by giving at least ten (10) Business Days’ prior written notice to the Company and each holder of Notes. Such resignation shall take effect upon the acceptance by a successor Collateral Agent of appointment pursuant to clauses (ii) and (iii) below or as otherwise provided below. If at any time the Collateral Agent (together with its affiliates) beneficially owns less than $100,000 in aggregate principal amount of Notes, the Required Holders may, by written consent, remove the Collateral Agent from all its functions and duties hereunder and under the other Transaction Documents.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480" w:top="270" w:right="499" w:bottom="1440" w:gutter="0" w:footer="0" w:header="0"/>
        </w:sectPr>
      </w:pPr>
    </w:p>
    <w:bookmarkStart w:id="49" w:name="page50"/>
    <w:bookmarkEnd w:id="49"/>
    <w:p>
      <w:pPr>
        <w:ind w:left="440" w:right="60" w:firstLine="419"/>
        <w:spacing w:after="0" w:line="256" w:lineRule="auto"/>
        <w:tabs>
          <w:tab w:leader="none" w:pos="112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such notice of resignation or removal, the Required Holders shall appoint a successor collateral agent. Upon the acceptance of any appointment as Collateral Agent hereunder by a successor agent, such successor collateral agent shall thereupon succeed to and become vested with all the rights, powers, privileges and duties of the collateral agent, and the Collateral Agent shall be discharged from its duties and obligations under this Agreement and the other Transaction Documents. After the Collateral Agent’s resignation or removal hereunder as the collateral agent, the provisions of this Section 4(w) shall inure to its benefit as to any actions taken or omitted to be taken by it while it was the Collateral Agent under this Agreement and the other Transaction Documents.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collateral agent shall not have been so appointed within ten (10) Business Days of receipt of a written notice of resignation or removal, the Collateral Agent shall then appoint a successor collateral agent who shall serve as the Collateral Agent until such time, if any, as the Required Holders appoint a successor collateral agent as provided above.</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successor Collateral Agent is appointed pursuant to the provisions of this Section 4(w) that is not a Buyer or an affiliate of any Buyer (or the Required Holders or the Collateral Agent (or its successor), as applicable, notify the Company that they or it wants to appoint such a successor Collateral Agent pursuant to the terms of this Section 4(w)), the Company and each Subsidiary thereof covenants and agrees to promptly take all actions reasonably requested by the Required Holders or the Collateral Agent (or its successor), as applicable, from time to time, to secure a successor Collateral Agent satisfactory to the requesting part(y)(ies), in their sole discretion, including, without limitation, by paying all reasonable and customary fees and expenses of such successor Collateral Agent, by having the Company and each Subsidiary thereof agree to indemnify any successor Collateral Agent pursuant to reasonable and customary terms and by each of the Company and each Subsidiary thereof executing a collateral agency agreement or similar agreement and/or any amendment to the Security Documents reasonably requested or required by the successor Collateral Agent.</w:t>
      </w:r>
    </w:p>
    <w:p>
      <w:pPr>
        <w:spacing w:after="0" w:line="188"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The Company will not take any action prohibited by Regulation M under the 1934 Act, in connection with the distribution of the Securities contemplated hereby.</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83" w:lineRule="exact"/>
        <w:rPr>
          <w:rFonts w:ascii="Times New Roman" w:cs="Times New Roman" w:eastAsia="Times New Roman" w:hAnsi="Times New Roman"/>
          <w:sz w:val="18"/>
          <w:szCs w:val="18"/>
          <w:color w:val="auto"/>
        </w:rPr>
      </w:pPr>
    </w:p>
    <w:p>
      <w:pPr>
        <w:ind w:right="140" w:firstLine="436"/>
        <w:spacing w:after="0" w:line="256"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0" w:name="page51"/>
    <w:bookmarkEnd w:id="50"/>
    <w:p>
      <w:pPr>
        <w:ind w:right="380" w:firstLine="436"/>
        <w:spacing w:after="0" w:line="266" w:lineRule="auto"/>
        <w:tabs>
          <w:tab w:leader="none" w:pos="7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Disqualification Events</w:t>
      </w:r>
      <w:r>
        <w:rPr>
          <w:rFonts w:ascii="Times New Roman" w:cs="Times New Roman" w:eastAsia="Times New Roman" w:hAnsi="Times New Roman"/>
          <w:sz w:val="18"/>
          <w:szCs w:val="18"/>
          <w:color w:val="auto"/>
        </w:rPr>
        <w:t>. The Company will notify the Buyers in writing, prior to each Closing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Guarantee</w:t>
      </w:r>
      <w:r>
        <w:rPr>
          <w:rFonts w:ascii="Times New Roman" w:cs="Times New Roman" w:eastAsia="Times New Roman" w:hAnsi="Times New Roman"/>
          <w:sz w:val="18"/>
          <w:szCs w:val="18"/>
          <w:color w:val="auto"/>
        </w:rPr>
        <w:t>. For so long as any Notes remain outstanding, upon any entity becoming a direct, or indirect, Subsidiary of the Company, the Company shall cause each such Subsidiary to become party to the Guaranty by executing a joinder to the Guaranty reasonably satisfactory in form and substance to the Required Holders.</w:t>
      </w:r>
    </w:p>
    <w:p>
      <w:pPr>
        <w:spacing w:after="0" w:line="175" w:lineRule="exact"/>
        <w:rPr>
          <w:rFonts w:ascii="Times New Roman" w:cs="Times New Roman" w:eastAsia="Times New Roman" w:hAnsi="Times New Roman"/>
          <w:sz w:val="18"/>
          <w:szCs w:val="18"/>
          <w:color w:val="auto"/>
        </w:rPr>
      </w:pPr>
    </w:p>
    <w:p>
      <w:pPr>
        <w:ind w:right="40" w:firstLine="436"/>
        <w:spacing w:after="0" w:line="253" w:lineRule="auto"/>
        <w:tabs>
          <w:tab w:leader="none" w:pos="7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provide each stockholder entitled to vote at a special meeting of stockholders of the Company (the “</w:t>
      </w:r>
      <w:r>
        <w:rPr>
          <w:rFonts w:ascii="Times New Roman" w:cs="Times New Roman" w:eastAsia="Times New Roman" w:hAnsi="Times New Roman"/>
          <w:sz w:val="18"/>
          <w:szCs w:val="18"/>
          <w:b w:val="1"/>
          <w:bCs w:val="1"/>
          <w:color w:val="auto"/>
        </w:rPr>
        <w:t>Stockholder Meeting</w:t>
      </w:r>
      <w:r>
        <w:rPr>
          <w:rFonts w:ascii="Times New Roman" w:cs="Times New Roman" w:eastAsia="Times New Roman" w:hAnsi="Times New Roman"/>
          <w:sz w:val="18"/>
          <w:szCs w:val="18"/>
          <w:color w:val="auto"/>
        </w:rPr>
        <w:t>”), which shall be promptly called and held not later than July 1, 2026 (the “</w:t>
      </w:r>
      <w:r>
        <w:rPr>
          <w:rFonts w:ascii="Times New Roman" w:cs="Times New Roman" w:eastAsia="Times New Roman" w:hAnsi="Times New Roman"/>
          <w:sz w:val="18"/>
          <w:szCs w:val="18"/>
          <w:b w:val="1"/>
          <w:bCs w:val="1"/>
          <w:color w:val="auto"/>
        </w:rPr>
        <w:t>Stockholder Meeting Deadline</w:t>
      </w:r>
      <w:r>
        <w:rPr>
          <w:rFonts w:ascii="Times New Roman" w:cs="Times New Roman" w:eastAsia="Times New Roman" w:hAnsi="Times New Roman"/>
          <w:sz w:val="18"/>
          <w:szCs w:val="18"/>
          <w:color w:val="auto"/>
        </w:rPr>
        <w:t>”), a proxy statement, substantially in the form of the Preliminary Proxy Statement, with such revisions and updates as are permitted by the SEC and reasonably acceptable to the Buyers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The Proxy Statement shall solicit each of the Company’s stockholder’s affirmative vote at the Stockholder Meeting for approval of proposals set forth therein (“</w:t>
      </w:r>
      <w:r>
        <w:rPr>
          <w:rFonts w:ascii="Times New Roman" w:cs="Times New Roman" w:eastAsia="Times New Roman" w:hAnsi="Times New Roman"/>
          <w:sz w:val="18"/>
          <w:szCs w:val="18"/>
          <w:b w:val="1"/>
          <w:bCs w:val="1"/>
          <w:color w:val="auto"/>
        </w:rPr>
        <w:t>Stockholder Resolutions</w:t>
      </w:r>
      <w:r>
        <w:rPr>
          <w:rFonts w:ascii="Times New Roman" w:cs="Times New Roman" w:eastAsia="Times New Roman" w:hAnsi="Times New Roman"/>
          <w:sz w:val="18"/>
          <w:szCs w:val="18"/>
          <w:color w:val="auto"/>
        </w:rPr>
        <w:t>”), which shall include, without limitation, a proposal soliciting the approval of the issuance of all of the Securities in compliance with the rules and regulations of the Principal Market (without regard to any limitations on conversion set forth in the Notes) (such affirmative approval being referred to herein as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and the date such Stockholder Approval is obtained,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the Company shall use its reasonable best efforts to solicit its stockholders’ approval of such proposals and to cause the Board of Directors of the Company to recommend to the stockholders that they approve such proposals. The Company shall be obligated to seek to obtain the Stockholder Approval by the Stockholder Meeting Deadline. If, despite the Company’s reasonable best efforts the Stockholder Approval is not obtained on or prior to the Stockholder Meeting Deadline, the Company shall cause subsequent Stockholder Meetings to be held on or prior to the sixty (60) day anniversary of the prior Stockholder Meeting thereafter until such Stockholder Approval is obtained.</w:t>
      </w:r>
    </w:p>
    <w:p>
      <w:pPr>
        <w:spacing w:after="0" w:line="187" w:lineRule="exact"/>
        <w:rPr>
          <w:rFonts w:ascii="Times New Roman" w:cs="Times New Roman" w:eastAsia="Times New Roman" w:hAnsi="Times New Roman"/>
          <w:sz w:val="18"/>
          <w:szCs w:val="18"/>
          <w:color w:val="auto"/>
        </w:rPr>
      </w:pPr>
    </w:p>
    <w:p>
      <w:pPr>
        <w:ind w:right="180" w:firstLine="436"/>
        <w:spacing w:after="0" w:line="312" w:lineRule="auto"/>
        <w:tabs>
          <w:tab w:leader="none" w:pos="78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Waiver of Support Agreement</w:t>
      </w:r>
      <w:r>
        <w:rPr>
          <w:rFonts w:ascii="Times New Roman" w:cs="Times New Roman" w:eastAsia="Times New Roman" w:hAnsi="Times New Roman"/>
          <w:sz w:val="17"/>
          <w:szCs w:val="17"/>
          <w:color w:val="auto"/>
        </w:rPr>
        <w:t>. The Company shall not amend, waive, modify or fail to use reasonable best efforts to enforce any provision of any of the Support Agreements, if any. For the avoidance of doubt, no Buyer shall be a third-party beneficiary of any Support Agreement.</w:t>
      </w:r>
    </w:p>
    <w:p>
      <w:pPr>
        <w:spacing w:after="0" w:line="139" w:lineRule="exact"/>
        <w:rPr>
          <w:rFonts w:ascii="Times New Roman" w:cs="Times New Roman" w:eastAsia="Times New Roman" w:hAnsi="Times New Roman"/>
          <w:sz w:val="17"/>
          <w:szCs w:val="17"/>
          <w:color w:val="auto"/>
        </w:rPr>
      </w:pPr>
    </w:p>
    <w:p>
      <w:pPr>
        <w:ind w:right="560" w:firstLine="436"/>
        <w:spacing w:after="0" w:line="266" w:lineRule="auto"/>
        <w:tabs>
          <w:tab w:leader="none" w:pos="7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fourteen (14) calendar days after each Closing Date, the Company agrees to deliver, or cause to be delivered, to each Buyer and Kelley Drye &amp; Warren LLP a complete closing set of the executed Transaction Documents, Securities and any other document required to be delivered to any party pursuant to Section 7 hereof or otherwise.</w:t>
      </w:r>
    </w:p>
    <w:p>
      <w:pPr>
        <w:spacing w:after="0" w:line="175" w:lineRule="exact"/>
        <w:rPr>
          <w:rFonts w:ascii="Times New Roman" w:cs="Times New Roman" w:eastAsia="Times New Roman" w:hAnsi="Times New Roman"/>
          <w:sz w:val="18"/>
          <w:szCs w:val="18"/>
          <w:color w:val="auto"/>
        </w:rPr>
      </w:pPr>
    </w:p>
    <w:p>
      <w:pPr>
        <w:ind w:right="80" w:firstLine="436"/>
        <w:spacing w:after="0" w:line="289" w:lineRule="auto"/>
        <w:tabs>
          <w:tab w:leader="none" w:pos="72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 Closing Transfer Agent Instruction Letter</w:t>
      </w:r>
      <w:r>
        <w:rPr>
          <w:rFonts w:ascii="Times New Roman" w:cs="Times New Roman" w:eastAsia="Times New Roman" w:hAnsi="Times New Roman"/>
          <w:sz w:val="17"/>
          <w:szCs w:val="17"/>
          <w:color w:val="auto"/>
        </w:rPr>
        <w:t>. On or prior to the earlier of (x) the record date of the Shoe Business Sale Dividend (as defined in the Notes) and (y) June 1, 2026, the Company shall duly execute and deliver to each Buyer a copy of the Irrevocable Transfer Agent Instructions, in the form acceptable to such Buyer, which instructions shall have been delivered to and acknowledged and agreed to in writing by the Transfer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1" w:name="page52"/>
    <w:bookmarkEnd w:id="51"/>
    <w:p>
      <w:pPr>
        <w:ind w:left="184" w:hanging="184"/>
        <w:spacing w:after="0"/>
        <w:tabs>
          <w:tab w:leader="none" w:pos="18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 TRANSFER AGENT INSTRUCTIONS; LEGEND.</w:t>
      </w:r>
    </w:p>
    <w:p>
      <w:pPr>
        <w:spacing w:after="0" w:line="121" w:lineRule="exact"/>
        <w:rPr>
          <w:rFonts w:ascii="Times New Roman" w:cs="Times New Roman" w:eastAsia="Times New Roman" w:hAnsi="Times New Roman"/>
          <w:sz w:val="18"/>
          <w:szCs w:val="18"/>
          <w:b w:val="1"/>
          <w:bCs w:val="1"/>
          <w:color w:val="auto"/>
        </w:rPr>
      </w:pPr>
    </w:p>
    <w:p>
      <w:pPr>
        <w:ind w:left="4" w:right="100" w:firstLine="436"/>
        <w:spacing w:after="0" w:line="258" w:lineRule="auto"/>
        <w:tabs>
          <w:tab w:leader="none" w:pos="6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the Notes held by such Person and the number of Conversion Shares issuable pursuant to the terms of the Notes held by such Person. The Company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acceptable to each of the Buyers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each Buyer or its respective nominee(s), for the Conversion Shares in such amounts as specified from time to time by each Buyer to the Company upon conversion of the Notes. The Company represents and warrants that no instruction other than the Irrevocable Transfer Agent Instructions referred to in this Section 5(b), and stop transfer instructions to give effect to Section 2(g) hereof, will be given by the Company to the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the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Conversion Shares sold, assigned or transferred pursuant to an effective registration statement or in compliance with Rule 144, the transfer agent shall issue such shares to such Buyer, assignee or transferee (as the case may be) without any restrictive legend in accordance with Section 5(d) below.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Transfer Agent on each Effective Date. Any fees (with respect to the Transfer Agent, counsel to the Company or otherwise) associated with the issuance of such opinion or the removal of any legends on any of the Securities shall be borne by the Company.</w:t>
      </w:r>
    </w:p>
    <w:p>
      <w:pPr>
        <w:spacing w:after="0" w:line="189"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Buyer understands that the Securities have been issued (or will be issued in the case of the Conversion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-2780030</wp:posOffset>
            </wp:positionV>
            <wp:extent cx="28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2"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45</w:t>
      </w:r>
    </w:p>
    <w:p>
      <w:pPr>
        <w:sectPr>
          <w:pgSz w:w="11900" w:h="16838" w:orient="portrait"/>
          <w:cols w:equalWidth="0" w:num="1">
            <w:col w:w="11004"/>
          </w:cols>
          <w:pgMar w:left="436" w:top="266" w:right="459" w:bottom="1440" w:gutter="0" w:footer="0" w:header="0"/>
        </w:sectPr>
      </w:pPr>
    </w:p>
    <w:bookmarkStart w:id="52" w:name="page53"/>
    <w:bookmarkEnd w:id="52"/>
    <w:p>
      <w:pPr>
        <w:ind w:left="444" w:right="3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THESE SECURITIES ARE CONVERTIBLE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w:t>
      </w:r>
    </w:p>
    <w:p>
      <w:pPr>
        <w:spacing w:after="0" w:line="3" w:lineRule="exact"/>
        <w:rPr>
          <w:sz w:val="20"/>
          <w:szCs w:val="20"/>
          <w:color w:val="auto"/>
        </w:rPr>
      </w:pPr>
    </w:p>
    <w:p>
      <w:pPr>
        <w:ind w:left="444" w:hanging="4"/>
        <w:spacing w:after="0" w:line="253" w:lineRule="auto"/>
        <w:tabs>
          <w:tab w:leader="none" w:pos="7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7" w:lineRule="exact"/>
        <w:rPr>
          <w:sz w:val="20"/>
          <w:szCs w:val="20"/>
          <w:color w:val="auto"/>
        </w:rPr>
      </w:pPr>
    </w:p>
    <w:p>
      <w:pPr>
        <w:ind w:left="4" w:right="100" w:firstLine="436"/>
        <w:spacing w:after="0" w:line="276" w:lineRule="auto"/>
        <w:tabs>
          <w:tab w:leader="none" w:pos="69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Legends</w:t>
      </w:r>
      <w:r>
        <w:rPr>
          <w:rFonts w:ascii="Times New Roman" w:cs="Times New Roman" w:eastAsia="Times New Roman" w:hAnsi="Times New Roman"/>
          <w:sz w:val="17"/>
          <w:szCs w:val="17"/>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w:t>
      </w:r>
    </w:p>
    <w:p>
      <w:pPr>
        <w:ind w:left="264" w:hanging="264"/>
        <w:spacing w:after="0"/>
        <w:tabs>
          <w:tab w:leader="none" w:pos="2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Securities pursuant to Rule 144 (assuming the transferor is not an affiliate of the Company), (iii) if such Securities are</w:t>
      </w:r>
    </w:p>
    <w:p>
      <w:pPr>
        <w:spacing w:after="0" w:line="9"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to be sold, assigned or transferred under Rule 144 (provided that a Buyer provides the Company with reasonable assurances that such Securities are eligible for sale, assignment or transfer under Rule 144 which shall not include an opinion of Buyer’s counsel),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Days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as directed by such Buyer, either: (A) provided that the Transfer Agent is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such Securities are Conversion Shares, credit the aggregate number of shares of Common Stock to which such Buyer shall be entitled to such Buyer’s or its designee’s balance account with DTC through its Deposit/Withdrawal at Custodian system or (B) if the Transfer Agent is not participating in FAST,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designee with DTC or such certificate is required to be delivered to such Buyer pursuant to the foregoing is referred to herein as the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3" w:name="page54"/>
    <w:bookmarkEnd w:id="53"/>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and the date such shares of Common Stock are actually delivered without restrictive legend to such Buyer or such Buyer’s designee with DTC, as applicable,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The Company shall be responsible for any transfer agent fees or DTC fees with respect to any issuance of Securities or the removal of any legends with respect to any Securities in accordance herewith.</w:t>
      </w:r>
    </w:p>
    <w:p>
      <w:pPr>
        <w:spacing w:after="0" w:line="175" w:lineRule="exact"/>
        <w:rPr>
          <w:sz w:val="20"/>
          <w:szCs w:val="20"/>
          <w:color w:val="auto"/>
        </w:rPr>
      </w:pPr>
    </w:p>
    <w:p>
      <w:pPr>
        <w:ind w:firstLine="436"/>
        <w:spacing w:after="0" w:line="251"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Timely Deliver; Buy-In</w:t>
      </w:r>
      <w:r>
        <w:rPr>
          <w:rFonts w:ascii="Times New Roman" w:cs="Times New Roman" w:eastAsia="Times New Roman" w:hAnsi="Times New Roman"/>
          <w:sz w:val="18"/>
          <w:szCs w:val="18"/>
          <w:color w:val="auto"/>
        </w:rPr>
        <w:t>. If the Company fails, for any reason or for no reason, to issue and deliver (or cause to be delivered) to a Buyer (or its designee) by the Required Delivery Date, either (I) if the Transfer Agent is not participating in FAST, a certificate for the number of Conversion Shares to which such Buyer is entitled and register such Conversion Shares on the Company’s share register or, if the Transfer Agent is participating in FAST, to credit the balance account of such Buyer or such Buyer’s designee with DTC for such number of Conversion Shares submitted for legend removal by such Buyer pursuant to Section 5(d) above or (II) if the Registration Statement covering the resale of the Conversion Shares submitted for legend removal by such Buyer pursuant to Section 5(d) above (the “</w:t>
      </w:r>
      <w:r>
        <w:rPr>
          <w:rFonts w:ascii="Times New Roman" w:cs="Times New Roman" w:eastAsia="Times New Roman" w:hAnsi="Times New Roman"/>
          <w:sz w:val="18"/>
          <w:szCs w:val="18"/>
          <w:b w:val="1"/>
          <w:bCs w:val="1"/>
          <w:color w:val="auto"/>
        </w:rPr>
        <w:t>Unavailable Shares</w:t>
      </w:r>
      <w:r>
        <w:rPr>
          <w:rFonts w:ascii="Times New Roman" w:cs="Times New Roman" w:eastAsia="Times New Roman" w:hAnsi="Times New Roman"/>
          <w:sz w:val="18"/>
          <w:szCs w:val="18"/>
          <w:color w:val="auto"/>
        </w:rPr>
        <w:t>”) is not available for the resale of such Unavailable Shares and the Company fails to promptly, but in no event later than as required pursuant to the Registration Rights Agreement (x) so notify such Buyer and (y) deliver the Conversion Shares electronically without any restrictive legend by crediting such aggregate number of Conversion Shares submitted for legend removal by such Buyer pursuant to Section 5(d) above to such Buyer’s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Delivery Failure</w:t>
      </w:r>
      <w:r>
        <w:rPr>
          <w:rFonts w:ascii="Times New Roman" w:cs="Times New Roman" w:eastAsia="Times New Roman" w:hAnsi="Times New Roman"/>
          <w:sz w:val="18"/>
          <w:szCs w:val="18"/>
          <w:color w:val="auto"/>
        </w:rPr>
        <w:t>”), then, in addition to all other remedies available to such Buyer, the Company shall pay in cash to such Buyer on each day after the Share Delivery Date and during such Delivery Failure an amount equal to 2% of the product of (A) the sum of the number of shares of Common Stock not issued to such Buyer on or prior to the Required Delivery Date and to which such Buyer is entitled, and (B) any trading price of the Common Stock selected by such Buyer in writing as in effect at any time during the period beginning on the date of the delivery by such Buyer to the Company of the applicable Conversion Shares and ending on the applicable Share Delivery Date. In addition to the foregoing, if on or prior to the Required Delivery Date either (I) if the Transfer Agent is not participating in FAST, the Company shall fail to issue and deliver a certificate to a Buyer and register such shares of Common Stock on the Company’s share register or, if the Transfer Agent is participating in FAST, credit the balance account of such Buyer or such Buyer’s designee with DTC for the number of shares of Common Stock to which such Buyer submitted for legend removal by such Buyer pursuant to Section 5(d) above (ii) below or (II) a Notice Failure occurs, and if on or after such Trading Day such Buyer acquires (in an open market transaction, stock loan or otherwise) shares of Common Stock corresponding to all or any portion of the number of shares of Common Stock submitted for legend removal by such Buyer pursuant to Section 5(d) above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two (2) Trading Days after such Buyer’s request and in such Buyer’s discretion, either (i) pay cash to such Buyer in an amount equal to such Buyer’s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deliver such certificate or credit such Buyer’s balance account shall terminate and such shares shall be cancelled, or (ii) promptly honor its obligation to so deliver to such Buyer a certificate or certificates or credit the balance account of such Buyer or such Buyer’s designee with DTC representing such number of shares of Common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54" w:name="page55"/>
    <w:bookmarkEnd w:id="54"/>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that would have been so delivered if the Company timely complied with its obligations hereunder and pay cash to such Buyer in an amount equal to the excess (if any) of the Buy-In Price over the product of (A) such number of shares of Conversion Shares that the Company was required to deliver to such Buyer by the Required Delivery Date multiplied by (B) the lowest Closing Sale Price (as defined in the Notes) of the Common Stock on any Trading Day during the period commencing on the date of the delivery by such Buyer to the Company of the applicable Conversion Shares and ending on the date of such delivery and payment under this clause (ii). Nothing shall limit such Buyer’s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Section 5(e) shall not apply to the applicable Buyer the extent the Company has already paid such amounts in full to such Buyer with respect to such Notice Failure and/or Delivery Failure, as applicable, pursuant to the analogous sections of the Note held by such Buyer.</w:t>
      </w:r>
    </w:p>
    <w:p>
      <w:pPr>
        <w:spacing w:after="0" w:line="194" w:lineRule="exact"/>
        <w:rPr>
          <w:sz w:val="20"/>
          <w:szCs w:val="20"/>
          <w:color w:val="auto"/>
        </w:rPr>
      </w:pPr>
    </w:p>
    <w:p>
      <w:pPr>
        <w:ind w:left="664" w:hanging="224"/>
        <w:spacing w:after="0"/>
        <w:tabs>
          <w:tab w:leader="none" w:pos="66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FAST Compliance</w:t>
      </w:r>
      <w:r>
        <w:rPr>
          <w:rFonts w:ascii="Times New Roman" w:cs="Times New Roman" w:eastAsia="Times New Roman" w:hAnsi="Times New Roman"/>
          <w:sz w:val="18"/>
          <w:szCs w:val="18"/>
          <w:color w:val="auto"/>
        </w:rPr>
        <w:t>. While any Notes remain outstanding, the Company shall maintain a transfer agent that participates in FAST.</w:t>
      </w:r>
    </w:p>
    <w:p>
      <w:pPr>
        <w:spacing w:after="0" w:line="32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121" w:lineRule="exact"/>
        <w:rPr>
          <w:rFonts w:ascii="Times New Roman" w:cs="Times New Roman" w:eastAsia="Times New Roman" w:hAnsi="Times New Roman"/>
          <w:sz w:val="18"/>
          <w:szCs w:val="18"/>
          <w:b w:val="1"/>
          <w:bCs w:val="1"/>
          <w:color w:val="auto"/>
        </w:rPr>
      </w:pPr>
    </w:p>
    <w:p>
      <w:pPr>
        <w:ind w:left="4" w:right="100" w:firstLine="436"/>
        <w:spacing w:after="0" w:line="266" w:lineRule="auto"/>
        <w:tabs>
          <w:tab w:leader="none" w:pos="6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hereunder to issue and sell the Initial Notes to each Buyer at the Initial Closing is subject to the satisfaction, at or before the Initial Closing Date, of each of the following conditions, provided that these conditions are for the Company’s sole benefit and may be waived by the Company at any time in its sole discretion by providing each Buyer with prior written notice thereof:</w:t>
      </w:r>
    </w:p>
    <w:p>
      <w:pPr>
        <w:spacing w:after="0" w:line="6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other Transaction Documents to which it is a party and delivered the same to the Company.</w:t>
      </w:r>
    </w:p>
    <w:p>
      <w:pPr>
        <w:spacing w:after="0" w:line="117" w:lineRule="exact"/>
        <w:rPr>
          <w:rFonts w:ascii="Times New Roman" w:cs="Times New Roman" w:eastAsia="Times New Roman" w:hAnsi="Times New Roman"/>
          <w:sz w:val="18"/>
          <w:szCs w:val="18"/>
          <w:color w:val="auto"/>
        </w:rPr>
      </w:pPr>
    </w:p>
    <w:p>
      <w:pPr>
        <w:ind w:left="444" w:right="440" w:firstLine="419"/>
        <w:spacing w:after="0" w:line="266" w:lineRule="auto"/>
        <w:tabs>
          <w:tab w:leader="none" w:pos="113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Initial Purchase Price (less, in the case of any Buyer, the amounts withheld pursuant to Section 4(g)) for the Initial Notes being purchased by such Buyer at the Initial Closing by wire transfer of immediately available funds in accordance with the Initial Flow of Funds Letter.</w:t>
      </w:r>
    </w:p>
    <w:p>
      <w:pPr>
        <w:spacing w:after="0" w:line="67" w:lineRule="exact"/>
        <w:rPr>
          <w:rFonts w:ascii="Times New Roman" w:cs="Times New Roman" w:eastAsia="Times New Roman" w:hAnsi="Times New Roman"/>
          <w:sz w:val="18"/>
          <w:szCs w:val="18"/>
          <w:color w:val="auto"/>
        </w:rPr>
      </w:pPr>
    </w:p>
    <w:p>
      <w:pPr>
        <w:ind w:left="444" w:firstLine="419"/>
        <w:spacing w:after="0" w:line="258" w:lineRule="auto"/>
        <w:tabs>
          <w:tab w:leader="none" w:pos="118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the Initial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Initial Closing Date.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55" w:name="page56"/>
    <w:bookmarkEnd w:id="55"/>
    <w:p>
      <w:pPr>
        <w:ind w:left="4" w:right="80" w:firstLine="436"/>
        <w:spacing w:after="0" w:line="289" w:lineRule="auto"/>
        <w:tabs>
          <w:tab w:leader="none" w:pos="69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 of the Company hereunder to issue and sell the Additional Notes to each Buyer at each Additional Closing is subject to the satisfaction, at or before the applicable Additional Closing Date, of each of the following conditions, provided that these conditions are for the Company’s sole benefit and may be waived by the Company at any time in its sole discretion by providing each Buyer with prior written notice thereof:</w:t>
      </w:r>
    </w:p>
    <w:p>
      <w:pPr>
        <w:spacing w:after="0" w:line="49" w:lineRule="exact"/>
        <w:rPr>
          <w:rFonts w:ascii="Times New Roman" w:cs="Times New Roman" w:eastAsia="Times New Roman" w:hAnsi="Times New Roman"/>
          <w:sz w:val="17"/>
          <w:szCs w:val="17"/>
          <w:color w:val="auto"/>
        </w:rPr>
      </w:pPr>
    </w:p>
    <w:p>
      <w:pPr>
        <w:ind w:left="1084" w:hanging="221"/>
        <w:spacing w:after="0"/>
        <w:tabs>
          <w:tab w:leader="none" w:pos="108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executed each of the other Transaction Documents to which it is a party and delivered the same to the Company.</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66" w:lineRule="auto"/>
        <w:tabs>
          <w:tab w:leader="none" w:pos="113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and each other Buyer shall have delivered to the Company the Additional Purchase Price (less, in the case of any Buyer, the amounts withheld pursuant to Section 4(g)) for the Additional Note being purchased by such Buyer at the Additional Closing by wire transfer of immediately available funds in accordance with the Additional Flow of Funds Letter.</w:t>
      </w:r>
    </w:p>
    <w:p>
      <w:pPr>
        <w:spacing w:after="0" w:line="67" w:lineRule="exact"/>
        <w:rPr>
          <w:rFonts w:ascii="Times New Roman" w:cs="Times New Roman" w:eastAsia="Times New Roman" w:hAnsi="Times New Roman"/>
          <w:sz w:val="18"/>
          <w:szCs w:val="18"/>
          <w:color w:val="auto"/>
        </w:rPr>
      </w:pPr>
    </w:p>
    <w:p>
      <w:pPr>
        <w:ind w:left="444" w:firstLine="419"/>
        <w:spacing w:after="0" w:line="258" w:lineRule="auto"/>
        <w:tabs>
          <w:tab w:leader="none" w:pos="118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Buyer shall be true and correct in all material respects as of the date when made and as of the Additional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Additional Closing Date.</w:t>
      </w:r>
    </w:p>
    <w:p>
      <w:pPr>
        <w:spacing w:after="0" w:line="2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EACH BUYER’S OBLIGATION TO PURCHASE.</w:t>
      </w:r>
    </w:p>
    <w:p>
      <w:pPr>
        <w:spacing w:after="0" w:line="121" w:lineRule="exact"/>
        <w:rPr>
          <w:rFonts w:ascii="Times New Roman" w:cs="Times New Roman" w:eastAsia="Times New Roman" w:hAnsi="Times New Roman"/>
          <w:sz w:val="18"/>
          <w:szCs w:val="18"/>
          <w:b w:val="1"/>
          <w:bCs w:val="1"/>
          <w:color w:val="auto"/>
        </w:rPr>
      </w:pPr>
    </w:p>
    <w:p>
      <w:pPr>
        <w:ind w:left="4" w:right="120" w:firstLine="436"/>
        <w:spacing w:after="0" w:line="266" w:lineRule="auto"/>
        <w:tabs>
          <w:tab w:leader="none" w:pos="68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Buyer hereunder to purchase its Initial Note at the Initial Closing is subject to the satisfaction, at or before the Initial Closing Date, of each of the following conditions, provided that these conditions are for each Buyer’s sole benefit and may be waived by such Buyer at any time in its sole discretion by providing the Company with prior written notice thereof:</w:t>
      </w:r>
    </w:p>
    <w:p>
      <w:pPr>
        <w:spacing w:after="0" w:line="67" w:lineRule="exact"/>
        <w:rPr>
          <w:rFonts w:ascii="Times New Roman" w:cs="Times New Roman" w:eastAsia="Times New Roman" w:hAnsi="Times New Roman"/>
          <w:sz w:val="18"/>
          <w:szCs w:val="18"/>
          <w:color w:val="auto"/>
        </w:rPr>
      </w:pPr>
    </w:p>
    <w:p>
      <w:pPr>
        <w:jc w:val="both"/>
        <w:ind w:left="444" w:right="40" w:firstLine="419"/>
        <w:spacing w:after="0" w:line="261" w:lineRule="auto"/>
        <w:tabs>
          <w:tab w:leader="none" w:pos="108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New Subsidiary (as the case may be) shall have duly executed and delivered to such Buyer each of the Transaction Documents to which it is a party and the Company shall have duly executed and delivered to such Buyer an Initial Note, in such original principal amount as is set forth across from such Buyer’s name in column (3) of the Schedule of Buyers, being purchased by such Buyer at the Initial Closing pursuant to this Agreement.</w:t>
      </w:r>
    </w:p>
    <w:p>
      <w:pPr>
        <w:spacing w:after="0" w:line="71" w:lineRule="exact"/>
        <w:rPr>
          <w:rFonts w:ascii="Times New Roman" w:cs="Times New Roman" w:eastAsia="Times New Roman" w:hAnsi="Times New Roman"/>
          <w:sz w:val="18"/>
          <w:szCs w:val="18"/>
          <w:color w:val="auto"/>
        </w:rPr>
      </w:pPr>
    </w:p>
    <w:p>
      <w:pPr>
        <w:ind w:left="444" w:right="80" w:firstLine="419"/>
        <w:spacing w:after="0" w:line="282" w:lineRule="auto"/>
        <w:tabs>
          <w:tab w:leader="none" w:pos="113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opinion of Holland and Hart LLP, the Company’s counsel, dated as of the Initial Closing Date, in the form acceptable to such Buyer.</w:t>
      </w:r>
    </w:p>
    <w:p>
      <w:pPr>
        <w:spacing w:after="0" w:line="53"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7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formation and good standing of the Company and the New Subsidiary in each such entity’s jurisdiction of formation issued by the Secretary of State (or comparable office) of such jurisdiction of formation as of a date within ten (10) days of the Initial Closing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56" w:name="page57"/>
    <w:bookmarkEnd w:id="56"/>
    <w:p>
      <w:pPr>
        <w:ind w:right="140" w:firstLine="419"/>
        <w:spacing w:after="0" w:line="266"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such Buyer a certificate evidencing the Company’s and the New Subsidiary’s qualification as a foreign corporation and good standing issued by the Secretary of State (or comparable office) of each jurisdiction in which the Company and the New Subsidiary conducts business and is required to so qualify, as of a date within ten (10) days of the Initial Closing Date.</w:t>
      </w:r>
    </w:p>
    <w:p>
      <w:pPr>
        <w:spacing w:after="0" w:line="67" w:lineRule="exact"/>
        <w:rPr>
          <w:rFonts w:ascii="Times New Roman" w:cs="Times New Roman" w:eastAsia="Times New Roman" w:hAnsi="Times New Roman"/>
          <w:sz w:val="18"/>
          <w:szCs w:val="18"/>
          <w:color w:val="auto"/>
        </w:rPr>
      </w:pPr>
    </w:p>
    <w:p>
      <w:pPr>
        <w:ind w:right="560" w:firstLine="419"/>
        <w:spacing w:after="0" w:line="282"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certified copy of the Certificate of Incorporation as certified by the Delaware Secretary of State within ten (10) days of the Initial Closing Date.</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7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shall have delivered to such Buyer a certified copy of its Certificate of Incorporation (or such equivalent organizational document) as certified by the Secretary of State (or comparable office) of the New Subsidiary’s jurisdiction of incorporation within ten (10) days of the Initial Closing Date.</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New Subsidiary shall have delivered to such Buyer a certificate, in the form acceptable to such Buyer, executed by the Secretary of the Company and the New Subsidiary and dated as of the Initial Closing Date, as to (i) the resolutions consistent with Section 3(b) as adopted by the Company’s and the New Subsidiary’s board of directors in a form reasonably acceptable to such Buyer, (ii) the Certificate of Incorporation of the Company and the organizational documents of the New Subsidiary and (iii) the Bylaws of the Company and the bylaws of the New Subsidiary, each as in effect at the Initial Closing.</w:t>
      </w:r>
    </w:p>
    <w:p>
      <w:pPr>
        <w:spacing w:after="0" w:line="75" w:lineRule="exact"/>
        <w:rPr>
          <w:rFonts w:ascii="Times New Roman" w:cs="Times New Roman" w:eastAsia="Times New Roman" w:hAnsi="Times New Roman"/>
          <w:sz w:val="18"/>
          <w:szCs w:val="18"/>
          <w:color w:val="auto"/>
        </w:rPr>
      </w:pPr>
    </w:p>
    <w:p>
      <w:pPr>
        <w:ind w:right="20" w:firstLine="419"/>
        <w:spacing w:after="0" w:line="256"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as of the date when made and as of the Initial Closing Date as though originally made at that time (except for representations and warranties that speak as of a specific date, which shall be true and correct as of such specific date) and the Company and its Subsidiaries shall have performed, satisfied and complied in all respects with the covenants, agreements and conditions required to be performed, satisfied or complied with by the Company at or prior to the Initial Closing Date. Such Buyer shall have received a certificate, duly executed by the Chief Executive Officer of the Company, dated as of the Initial Closing Date, to the foregoing effect and as to such other matters as may be reasonably requested by such Buyer in the form acceptable to such Buyer.</w:t>
      </w:r>
    </w:p>
    <w:p>
      <w:pPr>
        <w:spacing w:after="0" w:line="79"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letter from the Transfer Agent certifying the number of shares of Common Stock outstanding on the Initial Closing Date immediately prior to the Initial Closing.</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(A) shall be designated for quotation or listed (as applicable) on the Principal Market and (B) shall not have been suspended, as of the Initial Closing Date, by the SEC or the Principal Market from trading on the Principal Market nor shall suspension by the SEC or the Principal Market have been threatened, as of the Initial Closing Date, either (I) in writing by the SEC or the Principal Market or (II) by falling below the minimum maintenance requirements of the Principal Market.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0"/>
          </w:cols>
          <w:pgMar w:left="880" w:top="270" w:right="479" w:bottom="1440" w:gutter="0" w:footer="0" w:header="0"/>
        </w:sectPr>
      </w:pPr>
    </w:p>
    <w:bookmarkStart w:id="57" w:name="page58"/>
    <w:bookmarkEnd w:id="57"/>
    <w:p>
      <w:pPr>
        <w:ind w:right="220" w:firstLine="419"/>
        <w:spacing w:after="0" w:line="282" w:lineRule="auto"/>
        <w:tabs>
          <w:tab w:leader="none" w:pos="7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obtained all governmental, regulatory or third party consents and approvals, if any, necessary for the sale of the Securities, including without limitation, those required by the Principal Market, if any.</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8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8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reasonably would have or result in a Material Adverse Effect (other than as described in the Preliminary Proxy Statement).</w:t>
      </w:r>
    </w:p>
    <w:p>
      <w:pPr>
        <w:spacing w:after="0" w:line="53" w:lineRule="exact"/>
        <w:rPr>
          <w:rFonts w:ascii="Times New Roman" w:cs="Times New Roman" w:eastAsia="Times New Roman" w:hAnsi="Times New Roman"/>
          <w:sz w:val="18"/>
          <w:szCs w:val="18"/>
          <w:color w:val="auto"/>
        </w:rPr>
      </w:pPr>
    </w:p>
    <w:p>
      <w:pPr>
        <w:ind w:right="840" w:firstLine="419"/>
        <w:spacing w:after="0" w:line="282" w:lineRule="auto"/>
        <w:tabs>
          <w:tab w:leader="none" w:pos="7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approval of the Principal Market to list or designate for quotation (as the case may be) the Conversion Shares.</w:t>
      </w:r>
    </w:p>
    <w:p>
      <w:pPr>
        <w:spacing w:after="0" w:line="53" w:lineRule="exact"/>
        <w:rPr>
          <w:rFonts w:ascii="Times New Roman" w:cs="Times New Roman" w:eastAsia="Times New Roman" w:hAnsi="Times New Roman"/>
          <w:sz w:val="18"/>
          <w:szCs w:val="18"/>
          <w:color w:val="auto"/>
        </w:rPr>
      </w:pPr>
    </w:p>
    <w:p>
      <w:pPr>
        <w:ind w:right="80" w:firstLine="419"/>
        <w:spacing w:after="0" w:line="256" w:lineRule="auto"/>
        <w:tabs>
          <w:tab w:leader="none" w:pos="8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Security Documents, the Company shall have delivered to the Collateral Agent (A) original certificates (I) representing the New Subsidiary’s shares of capital stock to the extent such subsidiary is a corporation or otherwise has certificated equity and (II) representing all other equity interests and all promissory notes required to be pledged thereunder, in each case, accompanied by undated stock powers and allonges executed in blank and other proper instruments of transfer and (B) appropriate financing statements on Form UCC-1 to be duly filed in such office or offices as may be necessary or, in the opinion of the Collateral Agent, desirable to perfect the security interests purported to be created by each Security Document.</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8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prior to the Initial Closing, the Company shall have delivered or caused to be delivered to each Buyer and the Collateral Agent (A) certified copies of requests for copies of information on Form UCC-11, listing all effective financing statements which name as debtor the Company or any of its Subsidiaries and which are filed in such office or offices as may be necessary or, in the opinion of the Collateral Agent or the Buyers, desirable to perfect the security interests purported to be created by the Security Agreement, together with copies of such financing statements, none of which, except as otherwise agreed in writing by the Collateral Agent, shall cover any of the Collateral (as defined in the Security Agreement), and the results of searches for any tax Lien and judgment Lien filed against such Person or its property, which results, except as otherwise agreed to in writing by the Collateral Agent and the Buyers, shall not show any such Liens; and (B) a perfection certificate, duly completed and executed by the Company and each of its Subsidiaries, in form and substance satisfactory to the Buyers (the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dated as of the Initial Closing Date.</w:t>
      </w:r>
    </w:p>
    <w:p>
      <w:pPr>
        <w:spacing w:after="0" w:line="80" w:lineRule="exact"/>
        <w:rPr>
          <w:rFonts w:ascii="Times New Roman" w:cs="Times New Roman" w:eastAsia="Times New Roman" w:hAnsi="Times New Roman"/>
          <w:sz w:val="18"/>
          <w:szCs w:val="18"/>
          <w:color w:val="auto"/>
        </w:rPr>
      </w:pPr>
    </w:p>
    <w:p>
      <w:pPr>
        <w:ind w:right="60" w:firstLine="419"/>
        <w:spacing w:after="0" w:line="266" w:lineRule="auto"/>
        <w:tabs>
          <w:tab w:leader="none" w:pos="9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received the Security Agreement, duly executed by the Company and the New Subsidiary, together with the original stock certificates representing all of the equity interests and all promissory notes required to be pledged thereunder, accompanied by undated stock powers and allonges executed in blank and other proper instruments of transfer.</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80"/>
          </w:cols>
          <w:pgMar w:left="880" w:top="270" w:right="439" w:bottom="1440" w:gutter="0" w:footer="0" w:header="0"/>
        </w:sectPr>
      </w:pPr>
    </w:p>
    <w:bookmarkStart w:id="58" w:name="page59"/>
    <w:bookmarkEnd w:id="58"/>
    <w:p>
      <w:pPr>
        <w:ind w:left="440" w:right="20" w:firstLine="419"/>
        <w:spacing w:after="0" w:line="282" w:lineRule="auto"/>
        <w:tabs>
          <w:tab w:leader="none" w:pos="125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the GPU Lease (as defined in the Notes), duly executed by the Company and the Lessee (as defined in the GPU Lease), to such Buyer.</w:t>
      </w:r>
    </w:p>
    <w:p>
      <w:pPr>
        <w:spacing w:after="0" w:line="49"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20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duly executed and delivered to such Buyer those certain support agreements, each attached hereto as </w:t>
      </w:r>
      <w:r>
        <w:rPr>
          <w:rFonts w:ascii="Times New Roman" w:cs="Times New Roman" w:eastAsia="Times New Roman" w:hAnsi="Times New Roman"/>
          <w:sz w:val="17"/>
          <w:szCs w:val="17"/>
          <w:b w:val="1"/>
          <w:bCs w:val="1"/>
          <w:u w:val="single" w:color="auto"/>
          <w:color w:val="auto"/>
        </w:rPr>
        <w:t>Exhibit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amended, modified or waived prior to the Initial Closing Date, each, a “</w:t>
      </w:r>
      <w:r>
        <w:rPr>
          <w:rFonts w:ascii="Times New Roman" w:cs="Times New Roman" w:eastAsia="Times New Roman" w:hAnsi="Times New Roman"/>
          <w:sz w:val="17"/>
          <w:szCs w:val="17"/>
          <w:b w:val="1"/>
          <w:bCs w:val="1"/>
          <w:color w:val="auto"/>
        </w:rPr>
        <w:t>Support Agreement</w:t>
      </w:r>
      <w:r>
        <w:rPr>
          <w:rFonts w:ascii="Times New Roman" w:cs="Times New Roman" w:eastAsia="Times New Roman" w:hAnsi="Times New Roman"/>
          <w:sz w:val="17"/>
          <w:szCs w:val="17"/>
          <w:color w:val="auto"/>
        </w:rPr>
        <w:t>”), by and between the Company and 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stockholders, which, in the aggregate, have the requisite voting power over the Common Stock to obtain Stockholder Approval (collectively, the “</w:t>
      </w:r>
      <w:r>
        <w:rPr>
          <w:rFonts w:ascii="Times New Roman" w:cs="Times New Roman" w:eastAsia="Times New Roman" w:hAnsi="Times New Roman"/>
          <w:sz w:val="17"/>
          <w:szCs w:val="17"/>
          <w:b w:val="1"/>
          <w:bCs w:val="1"/>
          <w:color w:val="auto"/>
        </w:rPr>
        <w:t>Stockholders</w:t>
      </w:r>
      <w:r>
        <w:rPr>
          <w:rFonts w:ascii="Times New Roman" w:cs="Times New Roman" w:eastAsia="Times New Roman" w:hAnsi="Times New Roman"/>
          <w:sz w:val="17"/>
          <w:szCs w:val="17"/>
          <w:color w:val="auto"/>
        </w:rPr>
        <w:t>”) and each of the Stockholders, severally, shall have duly executed and delivered to such Buyer a Support Agreement.</w:t>
      </w:r>
    </w:p>
    <w:p>
      <w:pPr>
        <w:spacing w:after="0" w:line="53" w:lineRule="exact"/>
        <w:rPr>
          <w:rFonts w:ascii="Times New Roman" w:cs="Times New Roman" w:eastAsia="Times New Roman" w:hAnsi="Times New Roman"/>
          <w:sz w:val="17"/>
          <w:szCs w:val="17"/>
          <w:color w:val="auto"/>
        </w:rPr>
      </w:pPr>
    </w:p>
    <w:p>
      <w:pPr>
        <w:ind w:left="440" w:right="220" w:firstLine="419"/>
        <w:spacing w:after="0" w:line="286" w:lineRule="auto"/>
        <w:tabs>
          <w:tab w:leader="none" w:pos="125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a letter on the letterhead of the Company (the “</w:t>
      </w:r>
      <w:r>
        <w:rPr>
          <w:rFonts w:ascii="Times New Roman" w:cs="Times New Roman" w:eastAsia="Times New Roman" w:hAnsi="Times New Roman"/>
          <w:sz w:val="18"/>
          <w:szCs w:val="18"/>
          <w:b w:val="1"/>
          <w:bCs w:val="1"/>
          <w:color w:val="auto"/>
        </w:rPr>
        <w:t>Initial Flow of Funds Letter</w:t>
      </w:r>
      <w:r>
        <w:rPr>
          <w:rFonts w:ascii="Times New Roman" w:cs="Times New Roman" w:eastAsia="Times New Roman" w:hAnsi="Times New Roman"/>
          <w:sz w:val="18"/>
          <w:szCs w:val="18"/>
          <w:color w:val="auto"/>
        </w:rPr>
        <w:t>”) duly executed by the Chief Executive Officer of the Company, setting forth the wire amounts of each Buyer and the wire transfer instructions of the Company.</w:t>
      </w:r>
    </w:p>
    <w:p>
      <w:pPr>
        <w:spacing w:after="0" w:line="50"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30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the administrative fee letter, with StructureCo Opportunities LLC, in form and substance satisfactory to such Buyer, in its sole discretion (the “</w:t>
      </w:r>
      <w:r>
        <w:rPr>
          <w:rFonts w:ascii="Times New Roman" w:cs="Times New Roman" w:eastAsia="Times New Roman" w:hAnsi="Times New Roman"/>
          <w:sz w:val="18"/>
          <w:szCs w:val="18"/>
          <w:b w:val="1"/>
          <w:bCs w:val="1"/>
          <w:color w:val="auto"/>
        </w:rPr>
        <w:t>Administrative Fee Letter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360" w:hanging="501"/>
        <w:spacing w:after="0"/>
        <w:tabs>
          <w:tab w:leader="none" w:pos="13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Required Consents.</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312" w:lineRule="auto"/>
        <w:tabs>
          <w:tab w:leader="none" w:pos="134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bona fide dispute shall exist, by and between (or among) any of the Buyers, any holder of Notes and/or the Company, which dispute is reasonably related to this Agreement, any of the Securities and/or the transactions contemplated hereby or thereby, as applicable.</w:t>
      </w:r>
    </w:p>
    <w:p>
      <w:pPr>
        <w:spacing w:after="0" w:line="31" w:lineRule="exact"/>
        <w:rPr>
          <w:rFonts w:ascii="Times New Roman" w:cs="Times New Roman" w:eastAsia="Times New Roman" w:hAnsi="Times New Roman"/>
          <w:sz w:val="17"/>
          <w:szCs w:val="17"/>
          <w:color w:val="auto"/>
        </w:rPr>
      </w:pPr>
    </w:p>
    <w:p>
      <w:pPr>
        <w:ind w:left="440" w:right="40" w:firstLine="419"/>
        <w:spacing w:after="0" w:line="282" w:lineRule="auto"/>
        <w:tabs>
          <w:tab w:leader="none" w:pos="129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New Subsidiary shall have delivered to such Buyer such other documents, instruments or certificates relating to the transactions contemplated by this Agreement as such Buyer or its counsel may reasonably request.</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Buyer hereunder to purchase the applicable Additional Note at any Additional Closing is subject to the satisfaction, at or before the applicable Additional Closing Date, of each of the following conditions, provided that these conditions are for each Buyer’s sole benefit and may be waived by such Buyer at any time in its sole discretion by providing the Company with prior written notice thereof:</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(as the case may be) shall have duly executed and delivered to such Buyer each of the Transaction Documents to which it is a party and the Company shall have duly executed and delivered to each applicable Transaction Documents to which it is a party and the Company shall have duly executed and delivered to such Buyer such Additional Note being purchased by such Buyer at such Additional Closing pursuant to this Agreement.</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2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the opinion of Holland and Hart LLP, the Company’s counsel, dated as of such Additional Closing Date, in the form acceptable to such Buyer.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59" w:name="page60"/>
    <w:bookmarkEnd w:id="59"/>
    <w:p>
      <w:pPr>
        <w:ind w:right="20" w:firstLine="419"/>
        <w:spacing w:after="0" w:line="266" w:lineRule="auto"/>
        <w:tabs>
          <w:tab w:leader="none" w:pos="7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such Buyer a copy of the Irrevocable Transfer Agent Instructions, in the form acceptable to such Buyer, which instructions shall have been delivered to and acknowledged in writing by the Company’s transfer agent and shall remain in full force and effect as of such Additional Closing Date.</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7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such Additional Closing Date.</w:t>
      </w:r>
    </w:p>
    <w:p>
      <w:pPr>
        <w:spacing w:after="0" w:line="67"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certificate evidencing the Company’s and each Subsidiary’s qualification as a foreign corporation and good standing issued by the Secretary of State (or comparable office) of each jurisdiction in which the Company and each Subsidiary conducts business and is required to so qualify, as of a date within ten (10) days of such Additional Closing Date.</w:t>
      </w:r>
    </w:p>
    <w:p>
      <w:pPr>
        <w:spacing w:after="0" w:line="67" w:lineRule="exact"/>
        <w:rPr>
          <w:rFonts w:ascii="Times New Roman" w:cs="Times New Roman" w:eastAsia="Times New Roman" w:hAnsi="Times New Roman"/>
          <w:sz w:val="18"/>
          <w:szCs w:val="18"/>
          <w:color w:val="auto"/>
        </w:rPr>
      </w:pPr>
    </w:p>
    <w:p>
      <w:pPr>
        <w:ind w:right="580" w:firstLine="419"/>
        <w:spacing w:after="0" w:line="282" w:lineRule="auto"/>
        <w:tabs>
          <w:tab w:leader="none" w:pos="7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such Buyer a certified copy of the Certificate of Incorporation as certified by the Delaware Secretary of State within ten (10) days of the Additional Closing Date.</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7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shall have delivered to such Buyer a certified copy of its Certificate of Incorporation (or such equivalent organizational document) as certified by the Secretary of State (or comparable office) of such Subsidiary’s jurisdiction of incorporation within ten (10) days of such Additional Closing Date.</w:t>
      </w:r>
    </w:p>
    <w:p>
      <w:pPr>
        <w:spacing w:after="0" w:line="67" w:lineRule="exact"/>
        <w:rPr>
          <w:rFonts w:ascii="Times New Roman" w:cs="Times New Roman" w:eastAsia="Times New Roman" w:hAnsi="Times New Roman"/>
          <w:sz w:val="18"/>
          <w:szCs w:val="18"/>
          <w:color w:val="auto"/>
        </w:rPr>
      </w:pPr>
    </w:p>
    <w:p>
      <w:pPr>
        <w:ind w:right="120" w:firstLine="419"/>
        <w:spacing w:after="0" w:line="258" w:lineRule="auto"/>
        <w:tabs>
          <w:tab w:leader="none" w:pos="8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shall have delivered to such Buyer a certificate, in the form acceptable to such Buyer, executed by the Secretary of the Company and each Subsidiary and dated as of such Additional Closing Date, as to (i) the resolutions consistent with Section 3(b) as adopted by the Company’s and each Subsidiary’s board of directors in a form reasonably acceptable to such Buyer, (ii) the Certificate of Incorporation of the Company and the organizational documents of each Subsidiary and (iii) the Bylaws of the Company and the bylaws of each Subsidiary, each as in effect at such Additional Closing.</w:t>
      </w:r>
    </w:p>
    <w:p>
      <w:pPr>
        <w:spacing w:after="0" w:line="75" w:lineRule="exact"/>
        <w:rPr>
          <w:rFonts w:ascii="Times New Roman" w:cs="Times New Roman" w:eastAsia="Times New Roman" w:hAnsi="Times New Roman"/>
          <w:sz w:val="18"/>
          <w:szCs w:val="18"/>
          <w:color w:val="auto"/>
        </w:rPr>
      </w:pPr>
    </w:p>
    <w:p>
      <w:pPr>
        <w:ind w:firstLine="419"/>
        <w:spacing w:after="0" w:line="274" w:lineRule="auto"/>
        <w:tabs>
          <w:tab w:leader="none" w:pos="72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every representation and warranty of the Company shall be true and correct as of the date when made and as of such Additional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such Additional Closing Date. Such Buyer shall have received a certificate, duly executed by the Chief Executive Officer of the Company, dated as of such Additional Closing Date, to the foregoing effect and as to such other matters as may be reasonably requested by such Buyer in the form acceptable to such Buyer.</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60" w:name="page61"/>
    <w:bookmarkEnd w:id="60"/>
    <w:p>
      <w:pPr>
        <w:ind w:right="60" w:firstLine="419"/>
        <w:spacing w:after="0" w:line="282"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such Buyer a letter from the Company’s transfer agent certifying the number of shares of Common Stock outstanding on such Additional Closing Date immediately prior to such Additional Closing.</w:t>
      </w:r>
    </w:p>
    <w:p>
      <w:pPr>
        <w:spacing w:after="0" w:line="53"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7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(A) shall be designated for quotation or listed (as applicable) on the Principal Market and (B) shall not have been suspended, as of such Additional Closing Date, by the SEC or the Principal Market from trading on the Principal Market nor shall suspension by the SEC or the Principal Market have been threatened, as of such Additional Closing Date, either (I) in writing by the SEC or the Principal Market or (II) by falling below the minimum maintenance requirements of the Principal Market.</w:t>
      </w:r>
    </w:p>
    <w:p>
      <w:pPr>
        <w:spacing w:after="0" w:line="71" w:lineRule="exact"/>
        <w:rPr>
          <w:rFonts w:ascii="Times New Roman" w:cs="Times New Roman" w:eastAsia="Times New Roman" w:hAnsi="Times New Roman"/>
          <w:sz w:val="18"/>
          <w:szCs w:val="18"/>
          <w:color w:val="auto"/>
        </w:rPr>
      </w:pPr>
    </w:p>
    <w:p>
      <w:pPr>
        <w:ind w:right="220" w:firstLine="419"/>
        <w:spacing w:after="0" w:line="282" w:lineRule="auto"/>
        <w:tabs>
          <w:tab w:leader="none" w:pos="7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third-party consents and approvals, if any, necessary for the sale of the Securities, including without limitation, those required by the Principal Market, if any.</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8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8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reasonably would have or result in a Material Adverse Effect.</w:t>
      </w:r>
    </w:p>
    <w:p>
      <w:pPr>
        <w:spacing w:after="0" w:line="53" w:lineRule="exact"/>
        <w:rPr>
          <w:rFonts w:ascii="Times New Roman" w:cs="Times New Roman" w:eastAsia="Times New Roman" w:hAnsi="Times New Roman"/>
          <w:sz w:val="18"/>
          <w:szCs w:val="18"/>
          <w:color w:val="auto"/>
        </w:rPr>
      </w:pPr>
    </w:p>
    <w:p>
      <w:pPr>
        <w:ind w:right="840" w:firstLine="419"/>
        <w:spacing w:after="0" w:line="282" w:lineRule="auto"/>
        <w:tabs>
          <w:tab w:leader="none" w:pos="7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approval of the Principal Market to list or designate for quotation (as the case may be) the Conversion Shares issuable upon conversion of such Additional Notes to be sold in such Additional Closing.</w:t>
      </w:r>
    </w:p>
    <w:p>
      <w:pPr>
        <w:spacing w:after="0" w:line="53" w:lineRule="exact"/>
        <w:rPr>
          <w:rFonts w:ascii="Times New Roman" w:cs="Times New Roman" w:eastAsia="Times New Roman" w:hAnsi="Times New Roman"/>
          <w:sz w:val="18"/>
          <w:szCs w:val="18"/>
          <w:color w:val="auto"/>
        </w:rPr>
      </w:pPr>
    </w:p>
    <w:p>
      <w:pPr>
        <w:ind w:right="220" w:firstLine="419"/>
        <w:spacing w:after="0" w:line="256" w:lineRule="auto"/>
        <w:tabs>
          <w:tab w:leader="none" w:pos="8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Security Documents, the Company shall have delivered to the Collateral Agent (A) original certificates (I) representing the Subsidiaries’ shares of capital stock to the extent such subsidiary is a corporation or otherwise has certificated equity and (II) representing all other equity interests and all promissory notes required to be pledged thereunder, in each case, accompanied by undated stock powers and allonges executed in blank and other proper instruments of transfer and (B) appropriate financing statements on Form UCC-1 to be duly filed in such office or offices as may be necessary or, in the opinion of the Collateral Agent, desirable to perfect the security interests purported to be created by each Security Document.</w:t>
      </w:r>
    </w:p>
    <w:p>
      <w:pPr>
        <w:spacing w:after="0" w:line="79" w:lineRule="exact"/>
        <w:rPr>
          <w:rFonts w:ascii="Times New Roman" w:cs="Times New Roman" w:eastAsia="Times New Roman" w:hAnsi="Times New Roman"/>
          <w:sz w:val="18"/>
          <w:szCs w:val="18"/>
          <w:color w:val="auto"/>
        </w:rPr>
      </w:pPr>
    </w:p>
    <w:p>
      <w:pPr>
        <w:ind w:firstLine="419"/>
        <w:spacing w:after="0" w:line="255" w:lineRule="auto"/>
        <w:tabs>
          <w:tab w:leader="none" w:pos="8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prior to such Additional Closing, the Company shall have delivered or caused to be delivered to each Buyer and the Collateral Agent certified copies of requests for copies of information on Form UCC-11, listing all effective financing statements which name as debtor the Company or any of its Subsidiaries and which are filed in such office or offices as may be necessary or, in the opinion of the Collateral Agent or the Buyers, desirable to perfect the security interests purported to be created by the Security Agreement, together with copies of such financing statements, none of which, except as otherwise agreed in writing by the Collateral Agent, shall cover any of the Collateral, and the results of searches for any tax Lien and judgment Lien filed against such Person or its property, which results, except as otherwise agreed to in writing by the Collateral Agent and the Buyers, shall not show any such Liens.</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80"/>
          </w:cols>
          <w:pgMar w:left="880" w:top="270" w:right="439" w:bottom="1440" w:gutter="0" w:footer="0" w:header="0"/>
        </w:sectPr>
      </w:pPr>
    </w:p>
    <w:bookmarkStart w:id="61" w:name="page62"/>
    <w:bookmarkEnd w:id="61"/>
    <w:p>
      <w:pPr>
        <w:ind w:left="1360" w:hanging="501"/>
        <w:spacing w:after="0"/>
        <w:tabs>
          <w:tab w:leader="none" w:pos="1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Agent shall have received amended and restated schedules to the Security Agreement, if applicable.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2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Controlled Account Bank and the Collateral Agent shall have duly executed and delivered to such Buyer a Controlled Account Agreement (as defined in the Security Agreement) with respect to each account of the Company or any of its Subsidiaries held at such Controlled Account Bank and each such Controlled Account Agreement shall remain in full force and effect as of such Additional Closing Date.</w:t>
      </w:r>
    </w:p>
    <w:p>
      <w:pPr>
        <w:spacing w:after="0" w:line="63" w:lineRule="exact"/>
        <w:rPr>
          <w:rFonts w:ascii="Times New Roman" w:cs="Times New Roman" w:eastAsia="Times New Roman" w:hAnsi="Times New Roman"/>
          <w:sz w:val="18"/>
          <w:szCs w:val="18"/>
          <w:color w:val="auto"/>
        </w:rPr>
      </w:pPr>
    </w:p>
    <w:p>
      <w:pPr>
        <w:ind w:left="440" w:right="140" w:firstLine="419"/>
        <w:spacing w:after="0" w:line="286" w:lineRule="auto"/>
        <w:tabs>
          <w:tab w:leader="none" w:pos="12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shall have received a letter on the letterhead of the Company (the “</w:t>
      </w:r>
      <w:r>
        <w:rPr>
          <w:rFonts w:ascii="Times New Roman" w:cs="Times New Roman" w:eastAsia="Times New Roman" w:hAnsi="Times New Roman"/>
          <w:sz w:val="18"/>
          <w:szCs w:val="18"/>
          <w:b w:val="1"/>
          <w:bCs w:val="1"/>
          <w:color w:val="auto"/>
        </w:rPr>
        <w:t>Additional Flow of Funds Letter</w:t>
      </w:r>
      <w:r>
        <w:rPr>
          <w:rFonts w:ascii="Times New Roman" w:cs="Times New Roman" w:eastAsia="Times New Roman" w:hAnsi="Times New Roman"/>
          <w:sz w:val="18"/>
          <w:szCs w:val="18"/>
          <w:color w:val="auto"/>
        </w:rPr>
        <w:t>”) duly executed by the Chief Financial Officer of the Company, setting forth the wire amounts of each Buyer and the wire transfer instructions of the Company.</w:t>
      </w:r>
    </w:p>
    <w:p>
      <w:pPr>
        <w:spacing w:after="0" w:line="50"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Fee Letter shall remain in full force and effect.</w:t>
      </w:r>
    </w:p>
    <w:p>
      <w:pPr>
        <w:spacing w:after="0" w:line="117"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Required Consents.</w:t>
      </w:r>
    </w:p>
    <w:p>
      <w:pPr>
        <w:spacing w:after="0" w:line="117" w:lineRule="exact"/>
        <w:rPr>
          <w:rFonts w:ascii="Times New Roman" w:cs="Times New Roman" w:eastAsia="Times New Roman" w:hAnsi="Times New Roman"/>
          <w:sz w:val="18"/>
          <w:szCs w:val="18"/>
          <w:color w:val="auto"/>
        </w:rPr>
      </w:pPr>
    </w:p>
    <w:p>
      <w:pPr>
        <w:ind w:left="1360" w:hanging="501"/>
        <w:spacing w:after="0"/>
        <w:tabs>
          <w:tab w:leader="none" w:pos="1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Additional Mandatory Closing, the Stockholder Approval shall have been obtained.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1" w:lineRule="auto"/>
        <w:tabs>
          <w:tab w:leader="none" w:pos="13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Additional Mandatory Closing, on such Additional Closing Date: (A) the Registration Statement shall be effective and the prospectus contained therein shall be available for the resale of all of the Registrable Securities by the Investors, (B) no Grace Period (as defined in the Registration Rights Agreement) shall have occurred and be continuing, and (C) no Current Public Information Failure shall have occurred and be continuing.</w:t>
      </w:r>
    </w:p>
    <w:p>
      <w:pPr>
        <w:spacing w:after="0" w:line="71" w:lineRule="exact"/>
        <w:rPr>
          <w:rFonts w:ascii="Times New Roman" w:cs="Times New Roman" w:eastAsia="Times New Roman" w:hAnsi="Times New Roman"/>
          <w:sz w:val="18"/>
          <w:szCs w:val="18"/>
          <w:color w:val="auto"/>
        </w:rPr>
      </w:pPr>
    </w:p>
    <w:p>
      <w:pPr>
        <w:ind w:left="440" w:right="460" w:firstLine="419"/>
        <w:spacing w:after="0" w:line="312" w:lineRule="auto"/>
        <w:tabs>
          <w:tab w:leader="none" w:pos="129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bona fide dispute shall exist, by and between (or among) any of the Buyers, any holder of Notes and/or the Company, which dispute is reasonably related to this Agreement, any of the Securities and/or the transactions contemplated hereby or thereby, as applicable.</w:t>
      </w:r>
    </w:p>
    <w:p>
      <w:pPr>
        <w:spacing w:after="0" w:line="31" w:lineRule="exact"/>
        <w:rPr>
          <w:rFonts w:ascii="Times New Roman" w:cs="Times New Roman" w:eastAsia="Times New Roman" w:hAnsi="Times New Roman"/>
          <w:sz w:val="17"/>
          <w:szCs w:val="17"/>
          <w:color w:val="auto"/>
        </w:rPr>
      </w:pPr>
    </w:p>
    <w:p>
      <w:pPr>
        <w:ind w:left="440" w:firstLine="419"/>
        <w:spacing w:after="0" w:line="282" w:lineRule="auto"/>
        <w:tabs>
          <w:tab w:leader="none" w:pos="13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TERMINATION.</w:t>
      </w:r>
    </w:p>
    <w:p>
      <w:pPr>
        <w:spacing w:after="0" w:line="121"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Initial Closing shall not have occurred with respect to a Buyer within five (5) Business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70" w:right="499" w:bottom="1440" w:gutter="0" w:footer="0" w:header="0"/>
        </w:sectPr>
      </w:pPr>
    </w:p>
    <w:bookmarkStart w:id="62" w:name="page63"/>
    <w:bookmarkEnd w:id="62"/>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of such Buyer’s breach of this Agreement and (ii) the abandonment of the sale and purchase of the Notes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287" w:lineRule="exact"/>
        <w:rPr>
          <w:sz w:val="20"/>
          <w:szCs w:val="20"/>
          <w:color w:val="auto"/>
        </w:rPr>
      </w:pPr>
    </w:p>
    <w:p>
      <w:pPr>
        <w:ind w:left="184" w:hanging="184"/>
        <w:spacing w:after="0"/>
        <w:tabs>
          <w:tab w:leader="none" w:pos="18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2" w:lineRule="auto"/>
        <w:tabs>
          <w:tab w:leader="none" w:pos="68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All questions concerning the construction, validity, enforcement and interpretation of this Agreement shall be governed by the internal laws of the State of Delaware, without giving effect to any provision of law or rule (whether of the State of Delaware or any other jurisdictions) that would cause the application of the laws of any jurisdictions other than the State of Delaware. The Company hereby irrevocably submits to the exclusive jurisdiction of the state and federal courts sitting in Wilmington,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w:t>
      </w:r>
    </w:p>
    <w:p>
      <w:pPr>
        <w:spacing w:after="0" w:line="2"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188"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9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3" w:name="page64"/>
    <w:bookmarkEnd w:id="63"/>
    <w:p>
      <w:pPr>
        <w:ind w:left="-20" w:right="20" w:firstLine="436"/>
        <w:spacing w:after="0" w:line="258" w:lineRule="auto"/>
        <w:tabs>
          <w:tab w:leader="none" w:pos="6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Maximum Payment Amounts</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189"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60" w:top="270" w:right="459" w:bottom="1440" w:gutter="0" w:footer="0" w:header="0"/>
        </w:sectPr>
      </w:pPr>
    </w:p>
    <w:bookmarkStart w:id="64" w:name="page65"/>
    <w:bookmarkEnd w:id="64"/>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and provided further that the provisions of Sections 4(v) and 4(w) above cannot be amended or waived without the additional prior written approval of the Collateral Agent or its successor.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w:t>
      </w:r>
    </w:p>
    <w:p>
      <w:pPr>
        <w:spacing w:after="0" w:line="7" w:lineRule="exact"/>
        <w:rPr>
          <w:sz w:val="20"/>
          <w:szCs w:val="20"/>
          <w:color w:val="auto"/>
        </w:rPr>
      </w:pPr>
    </w:p>
    <w:p>
      <w:pPr>
        <w:ind w:left="4" w:right="40" w:hanging="4"/>
        <w:spacing w:after="0" w:line="251"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Notes. From the date hereof and while any Notes are outstanding, the Company shall not be permitted to receive any consideration from a Buyer or a holder of Notes that is not otherwise contemplated by the Transaction Documents in order to, directly or indirectly, induce the Company or any Subsidiary (i) to treat such Buyer or holder of Notes in a manner that is more favorable than to other similarly situated Buyers or holders of Notes, or (ii) to treat any Buyer(s) or holder(s) of Notes in a manner that is less favorable than the Buyer or holder of Notes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65" w:name="page66"/>
    <w:bookmarkEnd w:id="6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(I) prior to the Additional Closing Expiration Date,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 on or after the Additional Closing Expiration Date, holders of a majority of the Registrable Securities as of such time (excluding any Registrable Securities held by the Company or any of its Subsidiaries as of such time) issued or issuable hereunder or pursuant to the Notes (or the Buyers, with respect to any waiver or amendment of Section 4(o)).</w:t>
      </w:r>
    </w:p>
    <w:p>
      <w:pPr>
        <w:spacing w:after="0" w:line="188" w:lineRule="exact"/>
        <w:rPr>
          <w:sz w:val="20"/>
          <w:szCs w:val="20"/>
          <w:color w:val="auto"/>
        </w:rPr>
      </w:pPr>
    </w:p>
    <w:p>
      <w:pPr>
        <w:ind w:right="80" w:firstLine="436"/>
        <w:spacing w:after="0" w:line="256" w:lineRule="auto"/>
        <w:tabs>
          <w:tab w:leader="none" w:pos="6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530 Washington St.</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legal@allbirds.com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Holland &amp; Hart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555 17th St., Suite 3200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Amy L. Bowler</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abowler@hollandhart.com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66" w:name="page67"/>
    <w:bookmarkEnd w:id="66"/>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Transfer Agent:</w:t>
      </w:r>
    </w:p>
    <w:p>
      <w:pPr>
        <w:spacing w:after="0" w:line="117"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150 Royall St., 2nd Floor</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Attention: Akinola Marinho</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E-Mail: Akinola.Marinho@computershare.com</w:t>
      </w:r>
    </w:p>
    <w:p>
      <w:pPr>
        <w:spacing w:after="0" w:line="20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If to a Buyer, to its mailing address and e-mail address set forth on the Schedule of Buyers, with copies to such Buyer’s representatives as set forth on the Schedule of Buyers,</w:t>
      </w:r>
    </w:p>
    <w:p>
      <w:pPr>
        <w:spacing w:after="0" w:line="5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117"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Kelley Drye &amp; Warren LLP</w:t>
      </w:r>
    </w:p>
    <w:p>
      <w:pPr>
        <w:spacing w:after="0" w:line="27"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Attention: Michael A. Adelstein, Esq.</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E-mail: madelstein@kelleydrye.com</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and to:</w:t>
      </w:r>
    </w:p>
    <w:p>
      <w:pPr>
        <w:spacing w:after="0" w:line="117"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Blank Rome LLP</w:t>
      </w:r>
    </w:p>
    <w:p>
      <w:pPr>
        <w:ind w:left="1824"/>
        <w:spacing w:after="0" w:line="196" w:lineRule="auto"/>
        <w:rPr>
          <w:sz w:val="20"/>
          <w:szCs w:val="20"/>
          <w:color w:val="auto"/>
        </w:rPr>
      </w:pPr>
      <w:r>
        <w:rPr>
          <w:rFonts w:ascii="Times New Roman" w:cs="Times New Roman" w:eastAsia="Times New Roman" w:hAnsi="Times New Roman"/>
          <w:sz w:val="18"/>
          <w:szCs w:val="18"/>
          <w:color w:val="auto"/>
        </w:rPr>
        <w:t>130 North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7"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Attention: Heather Sonnenberg</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E-Mail: heather.sonnenberg@blankrome.com</w:t>
      </w:r>
    </w:p>
    <w:p>
      <w:pPr>
        <w:spacing w:after="0" w:line="207" w:lineRule="exact"/>
        <w:rPr>
          <w:sz w:val="20"/>
          <w:szCs w:val="20"/>
          <w:color w:val="auto"/>
        </w:rPr>
      </w:pPr>
    </w:p>
    <w:p>
      <w:pPr>
        <w:jc w:val="both"/>
        <w:ind w:left="4" w:right="40"/>
        <w:spacing w:after="0" w:line="255" w:lineRule="auto"/>
        <w:rPr>
          <w:sz w:val="20"/>
          <w:szCs w:val="20"/>
          <w:color w:val="auto"/>
        </w:rPr>
      </w:pPr>
      <w:r>
        <w:rPr>
          <w:rFonts w:ascii="Times New Roman" w:cs="Times New Roman" w:eastAsia="Times New Roman" w:hAnsi="Times New Roman"/>
          <w:sz w:val="18"/>
          <w:szCs w:val="18"/>
          <w:color w:val="auto"/>
        </w:rPr>
        <w:t>or to such other mailing address and/or e-mail address and/or to the attention of such other Person as the recipient party has specified by written notice given to each other party five (5) days prior to the effectiveness of such change, provided that Kelley Drye &amp; Warren LLP and Blank Rome LLP shall only be provided copies of notices sent to the lead Buyer. Written confirmation of receipt (A) given by the recipient of such notice, consent, waiver or other communication, (B) mechanically or electronically generated by the sender’s e-mail containing the time, date and recipient’s e-mail or</w:t>
      </w:r>
    </w:p>
    <w:p>
      <w:pPr>
        <w:spacing w:after="0" w:line="3" w:lineRule="exact"/>
        <w:rPr>
          <w:sz w:val="20"/>
          <w:szCs w:val="20"/>
          <w:color w:val="auto"/>
        </w:rPr>
      </w:pPr>
    </w:p>
    <w:p>
      <w:pPr>
        <w:ind w:left="4" w:right="280" w:hanging="4"/>
        <w:spacing w:after="0" w:line="260" w:lineRule="auto"/>
        <w:tabs>
          <w:tab w:leader="none" w:pos="2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by an overnight courier service shall be rebuttable evidence of personal service, receipt by e-mail or receipt from an overnight courier service in accordance with clause (i), (ii) or (iii) above, respectively.</w:t>
      </w:r>
    </w:p>
    <w:p>
      <w:pPr>
        <w:spacing w:after="0" w:line="181"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Notes. The Company shall not assign this Agreement or any rights or obligations hereunder without the prior written consent of the Required Holders, including, without limitation, by way of a Fundamental Transaction (unless the Company is in compliance with the applicable provisions governing Fundamental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2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84"/>
          </w:cols>
          <w:pgMar w:left="436" w:top="270" w:right="579" w:bottom="1440" w:gutter="0" w:footer="0" w:header="0"/>
        </w:sectPr>
      </w:pPr>
    </w:p>
    <w:bookmarkStart w:id="67" w:name="page68"/>
    <w:bookmarkEnd w:id="67"/>
    <w:p>
      <w:pPr>
        <w:ind w:left="4" w:right="300" w:firstLine="436"/>
        <w:spacing w:after="0" w:line="266" w:lineRule="auto"/>
        <w:tabs>
          <w:tab w:leader="none" w:pos="69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the Indemnitees (as defined below) referred to in Section 9(k).</w:t>
      </w:r>
    </w:p>
    <w:p>
      <w:pPr>
        <w:spacing w:after="0" w:line="175"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each Closing. Each Buyer shall be responsible only for its own representations, warranties, agreements and covenants hereunder.</w:t>
      </w:r>
    </w:p>
    <w:p>
      <w:pPr>
        <w:spacing w:after="0" w:line="161" w:lineRule="exact"/>
        <w:rPr>
          <w:rFonts w:ascii="Times New Roman" w:cs="Times New Roman" w:eastAsia="Times New Roman" w:hAnsi="Times New Roman"/>
          <w:sz w:val="18"/>
          <w:szCs w:val="18"/>
          <w:color w:val="auto"/>
        </w:rPr>
      </w:pPr>
    </w:p>
    <w:p>
      <w:pPr>
        <w:jc w:val="both"/>
        <w:ind w:left="4" w:right="40" w:firstLine="436"/>
        <w:spacing w:after="0" w:line="266" w:lineRule="auto"/>
        <w:tabs>
          <w:tab w:leader="none" w:pos="6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7"/>
          <w:szCs w:val="17"/>
          <w:b w:val="1"/>
          <w:bCs w:val="1"/>
          <w:color w:val="auto"/>
        </w:rPr>
        <w:t>Indemnitees</w:t>
      </w:r>
      <w:r>
        <w:rPr>
          <w:rFonts w:ascii="Times New Roman" w:cs="Times New Roman" w:eastAsia="Times New Roman" w:hAnsi="Times New Roman"/>
          <w:sz w:val="17"/>
          <w:szCs w:val="17"/>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Liabilities</w:t>
      </w:r>
      <w:r>
        <w:rPr>
          <w:rFonts w:ascii="Times New Roman" w:cs="Times New Roman" w:eastAsia="Times New Roman" w:hAnsi="Times New Roman"/>
          <w:sz w:val="17"/>
          <w:szCs w:val="17"/>
          <w:color w:val="auto"/>
        </w:rPr>
        <w:t>”), incurred by any Indemnitee as a result of, or arising out of, or relating to (i) any misrepresentation or breach of any representation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w:t>
      </w:r>
    </w:p>
    <w:p>
      <w:pPr>
        <w:spacing w:after="0" w:line="9" w:lineRule="exact"/>
        <w:rPr>
          <w:rFonts w:ascii="Times New Roman" w:cs="Times New Roman" w:eastAsia="Times New Roman" w:hAnsi="Times New Roman"/>
          <w:sz w:val="17"/>
          <w:szCs w:val="17"/>
          <w:color w:val="auto"/>
        </w:rPr>
      </w:pPr>
    </w:p>
    <w:p>
      <w:pPr>
        <w:ind w:left="4" w:hanging="4"/>
        <w:spacing w:after="0" w:line="252" w:lineRule="auto"/>
        <w:tabs>
          <w:tab w:leader="none" w:pos="28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properly made by such Buyer pursuant to Section 4(i),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68" w:name="page69"/>
    <w:bookmarkEnd w:id="68"/>
    <w:p>
      <w:pPr>
        <w:ind w:firstLine="436"/>
        <w:spacing w:after="0" w:line="254"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91" w:lineRule="exact"/>
        <w:rPr>
          <w:rFonts w:ascii="Times New Roman" w:cs="Times New Roman" w:eastAsia="Times New Roman" w:hAnsi="Times New Roman"/>
          <w:sz w:val="18"/>
          <w:szCs w:val="18"/>
          <w:color w:val="auto"/>
        </w:rPr>
      </w:pPr>
    </w:p>
    <w:p>
      <w:pPr>
        <w:ind w:right="80" w:firstLine="436"/>
        <w:spacing w:after="0" w:line="253" w:lineRule="auto"/>
        <w:tabs>
          <w:tab w:leader="none" w:pos="7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91"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69" w:name="page70"/>
    <w:bookmarkEnd w:id="6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189" w:lineRule="exact"/>
        <w:rPr>
          <w:sz w:val="20"/>
          <w:szCs w:val="20"/>
          <w:color w:val="auto"/>
        </w:rPr>
      </w:pPr>
    </w:p>
    <w:p>
      <w:pPr>
        <w:ind w:left="700" w:hanging="264"/>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200" w:firstLine="419"/>
        <w:spacing w:after="0" w:line="261" w:lineRule="auto"/>
        <w:tabs>
          <w:tab w:leader="none" w:pos="107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Agreement, the conversion shall be made at the Exchange Rate prevailing on the Trading Day immediately preceding:</w:t>
      </w:r>
    </w:p>
    <w:p>
      <w:pPr>
        <w:spacing w:after="0" w:line="71"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7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Delaware or in the courts of any other jurisdiction that will give effect to such conversion being made on such date: or</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9(p)(i)(A)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2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9(p)(i)(A)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7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0" w:name="page71"/>
    <w:bookmarkEnd w:id="70"/>
    <w:p>
      <w:pPr>
        <w:ind w:left="-20" w:firstLine="436"/>
        <w:spacing w:after="0" w:line="252" w:lineRule="auto"/>
        <w:tabs>
          <w:tab w:leader="none" w:pos="6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Nature of Buyers’ Obligations and Rights</w:t>
      </w:r>
      <w:r>
        <w:rPr>
          <w:rFonts w:ascii="Times New Roman" w:cs="Times New Roman" w:eastAsia="Times New Roman" w:hAnsi="Times New Roman"/>
          <w:sz w:val="18"/>
          <w:szCs w:val="18"/>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60" w:top="270" w:right="459" w:bottom="1440" w:gutter="0" w:footer="0" w:header="0"/>
        </w:sectPr>
      </w:pPr>
    </w:p>
    <w:bookmarkStart w:id="71" w:name="page72"/>
    <w:bookmarkEnd w:id="71"/>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President, Chief Executive Officer and Secretary</w:t>
      </w:r>
    </w:p>
    <w:p>
      <w:pPr>
        <w:sectPr>
          <w:pgSz w:w="11900" w:h="16838" w:orient="portrait"/>
          <w:cols w:equalWidth="0" w:num="1">
            <w:col w:w="10920"/>
          </w:cols>
          <w:pgMar w:left="440" w:top="266" w:right="539" w:bottom="1440" w:gutter="0" w:footer="0" w:header="0"/>
        </w:sectPr>
      </w:pPr>
    </w:p>
    <w:bookmarkStart w:id="72" w:name="page73"/>
    <w:bookmarkEnd w:id="7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w:t>
      </w:r>
    </w:p>
    <w:p>
      <w:pPr>
        <w:sectPr>
          <w:pgSz w:w="11900" w:h="16838" w:orient="portrait"/>
          <w:cols w:equalWidth="0" w:num="1">
            <w:col w:w="10820"/>
          </w:cols>
          <w:pgMar w:left="440" w:top="266" w:right="639" w:bottom="1440" w:gutter="0" w:footer="0" w:header="0"/>
        </w:sectPr>
      </w:pPr>
    </w:p>
    <w:bookmarkStart w:id="73" w:name="page74"/>
    <w:bookmarkEnd w:id="7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each Buyer and the Company have caused their respective signature page to this Agreement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w:t>
      </w:r>
    </w:p>
    <w:p>
      <w:pPr>
        <w:sectPr>
          <w:pgSz w:w="11900" w:h="16838" w:orient="portrait"/>
          <w:cols w:equalWidth="0" w:num="1">
            <w:col w:w="10820"/>
          </w:cols>
          <w:pgMar w:left="440" w:top="266" w:right="6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BUYERS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18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40" w:type="dxa"/>
            <w:vAlign w:val="bottom"/>
          </w:tcPr>
          <w:p>
            <w:pPr>
              <w:spacing w:after="0"/>
              <w:rPr>
                <w:sz w:val="10"/>
                <w:szCs w:val="10"/>
                <w:color w:val="auto"/>
              </w:rPr>
            </w:pPr>
          </w:p>
        </w:tc>
        <w:tc>
          <w:tcPr>
            <w:tcW w:w="90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Notes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Notes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 Maximum</w:t>
            </w: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Mailing Address and</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Additional</w:t>
            </w:r>
          </w:p>
        </w:tc>
        <w:tc>
          <w:tcPr>
            <w:tcW w:w="8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Initial Purchase</w:t>
            </w:r>
          </w:p>
        </w:tc>
        <w:tc>
          <w:tcPr>
            <w:tcW w:w="1500" w:type="dxa"/>
            <w:vAlign w:val="bottom"/>
            <w:gridSpan w:val="3"/>
            <w:vMerge w:val="continue"/>
          </w:tcPr>
          <w:p>
            <w:pPr>
              <w:spacing w:after="0"/>
              <w:rPr>
                <w:sz w:val="12"/>
                <w:szCs w:val="12"/>
                <w:color w:val="auto"/>
              </w:rPr>
            </w:pPr>
          </w:p>
        </w:tc>
        <w:tc>
          <w:tcPr>
            <w:tcW w:w="2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Legal Representative’s</w:t>
            </w:r>
          </w:p>
        </w:tc>
        <w:tc>
          <w:tcPr>
            <w:tcW w:w="0" w:type="dxa"/>
            <w:vAlign w:val="bottom"/>
          </w:tcPr>
          <w:p>
            <w:pPr>
              <w:spacing w:after="0"/>
              <w:rPr>
                <w:sz w:val="1"/>
                <w:szCs w:val="1"/>
                <w:color w:val="auto"/>
              </w:rPr>
            </w:pPr>
          </w:p>
        </w:tc>
      </w:tr>
      <w:tr>
        <w:trPr>
          <w:trHeight w:val="148"/>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12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Mandatory</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Optional</w:t>
            </w:r>
          </w:p>
        </w:tc>
        <w:tc>
          <w:tcPr>
            <w:tcW w:w="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E-mail Address</w:t>
            </w: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Closings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8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Mailing Address and E-mail Address</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$3,250,000</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44,750,000</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3,087,500</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42,512,500</w:t>
            </w:r>
          </w:p>
        </w:tc>
        <w:tc>
          <w:tcPr>
            <w:tcW w:w="180" w:type="dxa"/>
            <w:vAlign w:val="bottom"/>
            <w:vMerge w:val="continue"/>
            <w:shd w:val="clear" w:color="auto" w:fill="CCEEFF"/>
          </w:tcPr>
          <w:p>
            <w:pPr>
              <w:spacing w:after="0"/>
              <w:rPr>
                <w:sz w:val="18"/>
                <w:szCs w:val="18"/>
                <w:color w:val="auto"/>
              </w:rPr>
            </w:pPr>
          </w:p>
        </w:tc>
        <w:tc>
          <w:tcPr>
            <w:tcW w:w="2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44,750,000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3,087,500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42,512,500</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SENIOR SECURED CONVERTIBLE NOTE]</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spacing w:after="0" w:line="18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THIS NOTE AND THE RIGHTS AND OBLIGATIONS EVIDENCED HEREBY ARE SUBORDINATE TO THE SENIOR DEBT (AS HEREINAFTER DEFINED) IN THE MANNER AND TO THE EXTENT SET FORTH IN THAT CERTAIN SUBORDINATION AGREEMENT, DATED AS OF APRIL 19, 2026, BY AND AMONG THE HOLDER, THE COMPANY AND SECOND AVENUE CAPITAL PARTNERS LLC (THE “SUBORDINATION AGREEMENT”). THE HOLDER OF THIS INSTRUMENT, BY ITS ACCEPTANCE HEREOF, SHALL BE BOUND BY THE SUBORDINATION PROVISIONS SET FORTH IN THE SUBORDINATION AGREEMENT.</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THIS NOTE HAS BEEN ISSUED WITH ORIGINAL ISSUE DISCOUNT. PURSUANT TO TREASURY REGULATION §1.1275-3(b)(1), JOE VERNACHIO, A REPRESENTATIVE OF THE COMPANY HEREOF WILL, BEGINNING TEN DAYS AFTER THE ISSUANCE DATE OF THIS NOTE, PROMPTLY MAKE AVAILABLE TO THE HOLDER UPON REQUEST THE INFORMATION DESCRIBED IN TREASURY REGULATION §1.1275-3(b)(1)(i). JOE VERNACHIO MAY BE REACHED AT TELEPHONE NUMBER [•].</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LLBIRDS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w:t>
      </w:r>
    </w:p>
    <w:p>
      <w:pPr>
        <w:spacing w:after="0" w:line="256" w:lineRule="exact"/>
        <w:rPr>
          <w:sz w:val="20"/>
          <w:szCs w:val="20"/>
          <w:color w:val="auto"/>
        </w:rPr>
      </w:pPr>
    </w:p>
    <w:p>
      <w:pPr>
        <w:spacing w:after="0"/>
        <w:tabs>
          <w:tab w:leader="none" w:pos="7160" w:val="left"/>
        </w:tabs>
        <w:rPr>
          <w:sz w:val="20"/>
          <w:szCs w:val="20"/>
          <w:color w:val="auto"/>
        </w:rPr>
      </w:pPr>
      <w:r>
        <w:rPr>
          <w:rFonts w:ascii="Times New Roman" w:cs="Times New Roman" w:eastAsia="Times New Roman" w:hAnsi="Times New Roman"/>
          <w:sz w:val="18"/>
          <w:szCs w:val="18"/>
          <w:color w:val="auto"/>
        </w:rPr>
        <w:t>Issuance Date: [•] 20__</w:t>
      </w:r>
      <w:r>
        <w:rPr>
          <w:sz w:val="20"/>
          <w:szCs w:val="20"/>
          <w:color w:val="auto"/>
        </w:rPr>
        <w:tab/>
      </w:r>
      <w:r>
        <w:rPr>
          <w:rFonts w:ascii="Times New Roman" w:cs="Times New Roman" w:eastAsia="Times New Roman" w:hAnsi="Times New Roman"/>
          <w:sz w:val="17"/>
          <w:szCs w:val="17"/>
          <w:color w:val="auto"/>
        </w:rPr>
        <w:t>Original Principal Amount: U.S. $[•]</w:t>
      </w:r>
    </w:p>
    <w:p>
      <w:pPr>
        <w:spacing w:after="0" w:line="221"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Allbirds,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[BUYER]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set forth above as the Issuance Date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until the same becomes due and payable, whether upon the Maturity Date or upon acceleration,</w:t>
      </w:r>
    </w:p>
    <w:p>
      <w:pPr>
        <w:sectPr>
          <w:pgSz w:w="11900" w:h="16838" w:orient="portrait"/>
          <w:cols w:equalWidth="0" w:num="1">
            <w:col w:w="11020"/>
          </w:cols>
          <w:pgMar w:left="440" w:top="117" w:right="439" w:bottom="1440" w:gutter="0" w:footer="0" w:header="0"/>
        </w:sectPr>
      </w:pPr>
    </w:p>
    <w:bookmarkStart w:id="76" w:name="page77"/>
    <w:bookmarkEnd w:id="7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redemption or otherwise (in each case in accordance with the terms hereof). This Senior Secured Convertible Note (including all Senior Secured Convertible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an issue of Senior Secured Convertible Notes issued pursuant to the Securities Purchase Agreement, dated as of April 19, 2026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Senior Secured Convertible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Certain capitalized terms used herein are defined in Section 33.</w:t>
      </w:r>
    </w:p>
    <w:p>
      <w:pPr>
        <w:spacing w:after="0" w:line="183" w:lineRule="exact"/>
        <w:rPr>
          <w:sz w:val="20"/>
          <w:szCs w:val="20"/>
          <w:color w:val="auto"/>
        </w:rPr>
      </w:pPr>
    </w:p>
    <w:p>
      <w:pPr>
        <w:ind w:left="4" w:right="140" w:firstLine="436"/>
        <w:spacing w:after="0" w:line="261" w:lineRule="auto"/>
        <w:tabs>
          <w:tab w:leader="none" w:pos="6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accrued and unpaid Late Charges (as defined in Section 26(c)) on such Principal and Interest. Other than as specifically permitted by this Note, the Company may not prepay any portion of the outstanding Principal, accrued and unpaid Interest or accrued and unpaid Late Charges on Principal and Interest, if any.</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INTEREST RATE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76" w:lineRule="auto"/>
        <w:tabs>
          <w:tab w:leader="none" w:pos="1112"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this Note shall commence accruing on the Issuance Date and shall be computed on the basis of a 360-day year and twelve 30-day months and shall be payable in arrears for on the first calendar day of each calendar quarter (each, an “</w:t>
      </w:r>
      <w:r>
        <w:rPr>
          <w:rFonts w:ascii="Times New Roman" w:cs="Times New Roman" w:eastAsia="Times New Roman" w:hAnsi="Times New Roman"/>
          <w:sz w:val="17"/>
          <w:szCs w:val="17"/>
          <w:b w:val="1"/>
          <w:bCs w:val="1"/>
          <w:color w:val="auto"/>
        </w:rPr>
        <w:t>Interest Date</w:t>
      </w:r>
      <w:r>
        <w:rPr>
          <w:rFonts w:ascii="Times New Roman" w:cs="Times New Roman" w:eastAsia="Times New Roman" w:hAnsi="Times New Roman"/>
          <w:sz w:val="17"/>
          <w:szCs w:val="17"/>
          <w:color w:val="auto"/>
        </w:rPr>
        <w:t>”) with the first</w:t>
      </w:r>
    </w:p>
    <w:p>
      <w:pPr>
        <w:spacing w:after="0" w:line="1" w:lineRule="exact"/>
        <w:rPr>
          <w:sz w:val="20"/>
          <w:szCs w:val="20"/>
          <w:color w:val="auto"/>
        </w:rPr>
      </w:pPr>
    </w:p>
    <w:p>
      <w:pPr>
        <w:ind w:left="444"/>
        <w:spacing w:after="0" w:line="257" w:lineRule="auto"/>
        <w:rPr>
          <w:sz w:val="20"/>
          <w:szCs w:val="20"/>
          <w:color w:val="auto"/>
        </w:rPr>
      </w:pPr>
      <w:r>
        <w:rPr>
          <w:rFonts w:ascii="Times New Roman" w:cs="Times New Roman" w:eastAsia="Times New Roman" w:hAnsi="Times New Roman"/>
          <w:sz w:val="17"/>
          <w:szCs w:val="17"/>
          <w:color w:val="auto"/>
        </w:rPr>
        <w:t>Interest Date being [ 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Interest shall be payable on each Interest Date, to the record holder of this Note on the applicable Interest Date, in shares of Common Stock (“</w:t>
      </w:r>
      <w:r>
        <w:rPr>
          <w:rFonts w:ascii="Times New Roman" w:cs="Times New Roman" w:eastAsia="Times New Roman" w:hAnsi="Times New Roman"/>
          <w:sz w:val="17"/>
          <w:szCs w:val="17"/>
          <w:b w:val="1"/>
          <w:bCs w:val="1"/>
          <w:color w:val="auto"/>
        </w:rPr>
        <w:t>Interest Shares</w:t>
      </w:r>
      <w:r>
        <w:rPr>
          <w:rFonts w:ascii="Times New Roman" w:cs="Times New Roman" w:eastAsia="Times New Roman" w:hAnsi="Times New Roman"/>
          <w:sz w:val="17"/>
          <w:szCs w:val="17"/>
          <w:color w:val="auto"/>
        </w:rPr>
        <w:t>”) so long as there has been no Equity Conditions Failure; provided however, that the Company may, at its option following notice to the Holder, pay Interest on any Interest Date in cash (“</w:t>
      </w:r>
      <w:r>
        <w:rPr>
          <w:rFonts w:ascii="Times New Roman" w:cs="Times New Roman" w:eastAsia="Times New Roman" w:hAnsi="Times New Roman"/>
          <w:sz w:val="17"/>
          <w:szCs w:val="17"/>
          <w:b w:val="1"/>
          <w:bCs w:val="1"/>
          <w:color w:val="auto"/>
        </w:rPr>
        <w:t>Cash Interest</w:t>
      </w:r>
      <w:r>
        <w:rPr>
          <w:rFonts w:ascii="Times New Roman" w:cs="Times New Roman" w:eastAsia="Times New Roman" w:hAnsi="Times New Roman"/>
          <w:sz w:val="17"/>
          <w:szCs w:val="17"/>
          <w:color w:val="auto"/>
        </w:rPr>
        <w:t>”) or in a combination of Cash Interest and Interest Shares. The Company shall deliver a written notice (each, an “</w:t>
      </w:r>
      <w:r>
        <w:rPr>
          <w:rFonts w:ascii="Times New Roman" w:cs="Times New Roman" w:eastAsia="Times New Roman" w:hAnsi="Times New Roman"/>
          <w:sz w:val="17"/>
          <w:szCs w:val="17"/>
          <w:b w:val="1"/>
          <w:bCs w:val="1"/>
          <w:color w:val="auto"/>
        </w:rPr>
        <w:t>Interest Election Notice</w:t>
      </w:r>
      <w:r>
        <w:rPr>
          <w:rFonts w:ascii="Times New Roman" w:cs="Times New Roman" w:eastAsia="Times New Roman" w:hAnsi="Times New Roman"/>
          <w:sz w:val="17"/>
          <w:szCs w:val="17"/>
          <w:color w:val="auto"/>
        </w:rPr>
        <w:t>”) to each holder of the Notes on or prior to the Interest Notice Due Date (the date such notice is delivered to all of the holders, the “</w:t>
      </w:r>
      <w:r>
        <w:rPr>
          <w:rFonts w:ascii="Times New Roman" w:cs="Times New Roman" w:eastAsia="Times New Roman" w:hAnsi="Times New Roman"/>
          <w:sz w:val="17"/>
          <w:szCs w:val="17"/>
          <w:b w:val="1"/>
          <w:bCs w:val="1"/>
          <w:color w:val="auto"/>
        </w:rPr>
        <w:t>Interest Notice Date</w:t>
      </w:r>
      <w:r>
        <w:rPr>
          <w:rFonts w:ascii="Times New Roman" w:cs="Times New Roman" w:eastAsia="Times New Roman" w:hAnsi="Times New Roman"/>
          <w:sz w:val="17"/>
          <w:szCs w:val="17"/>
          <w:color w:val="auto"/>
        </w:rPr>
        <w:t>”) which notice (i) either (A) confirms that Interest to be paid on such Interest Date shall be paid entirely in Interest Shares or (B) elects to pay Interest as Cash Interest or a combination of Cash Interest and Interest Shares and specifies the amount of Interest that shall be paid as Cash Interest and the amount of Interest, if any, that shall be paid in Interest Shares and (ii) certifies that there has been no Equity Conditions Failure. If an Equity Conditions Failure has occurred as of the Interest Notice Date, then unless the Company has elected to pay such Interest as Cash Interest, the Interest Election Notice shall indicate that unless the Holder waives the Equity Conditions Failure, the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3" w:lineRule="exact"/>
        <w:rPr>
          <w:sz w:val="20"/>
          <w:szCs w:val="20"/>
          <w:color w:val="auto"/>
        </w:rPr>
      </w:pPr>
    </w:p>
    <w:p>
      <w:pPr>
        <w:ind w:left="424" w:hanging="424"/>
        <w:spacing w:after="0"/>
        <w:tabs>
          <w:tab w:leader="none" w:pos="424" w:val="left"/>
        </w:tabs>
        <w:numPr>
          <w:ilvl w:val="0"/>
          <w:numId w:val="9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Initial Notes the three month anniversary of the Initial Closing Date</w:t>
      </w:r>
    </w:p>
    <w:p>
      <w:pPr>
        <w:spacing w:after="0" w:line="109" w:lineRule="exact"/>
        <w:rPr>
          <w:rFonts w:ascii="Times New Roman" w:cs="Times New Roman" w:eastAsia="Times New Roman" w:hAnsi="Times New Roman"/>
          <w:sz w:val="27"/>
          <w:szCs w:val="27"/>
          <w:color w:val="auto"/>
          <w:vertAlign w:val="superscript"/>
        </w:rPr>
      </w:pPr>
    </w:p>
    <w:p>
      <w:pPr>
        <w:ind w:left="44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Additional Notes the first calendar day of the calendar quarter immediately following Applicable Closing Date of such Additional Note</w:t>
      </w:r>
    </w:p>
    <w:p>
      <w:pPr>
        <w:spacing w:after="0" w:line="13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70" w:right="539" w:bottom="1440" w:gutter="0" w:footer="0" w:header="0"/>
        </w:sectPr>
      </w:pPr>
    </w:p>
    <w:bookmarkStart w:id="77" w:name="page78"/>
    <w:bookmarkEnd w:id="77"/>
    <w:p>
      <w:pPr>
        <w:ind w:left="44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number of fully paid and nonassessable shares (rounded to the nearest whole share in accordance with Section 3(a)) of Common Stock equal to the quotient of (1) the amount of Interest payable on such Interest Date less any Cash Interest paid and (2) the Alternate Conversion Price in effect on the applicable Interest Date.</w:t>
      </w:r>
    </w:p>
    <w:p>
      <w:pPr>
        <w:spacing w:after="0" w:line="68" w:lineRule="exact"/>
        <w:rPr>
          <w:sz w:val="20"/>
          <w:szCs w:val="20"/>
          <w:color w:val="auto"/>
        </w:rPr>
      </w:pPr>
    </w:p>
    <w:p>
      <w:pPr>
        <w:ind w:left="440" w:right="20" w:firstLine="423"/>
        <w:spacing w:after="0" w:line="254" w:lineRule="auto"/>
        <w:rPr>
          <w:sz w:val="20"/>
          <w:szCs w:val="20"/>
          <w:color w:val="auto"/>
        </w:rPr>
      </w:pPr>
      <w:r>
        <w:rPr>
          <w:rFonts w:ascii="Times New Roman" w:cs="Times New Roman" w:eastAsia="Times New Roman" w:hAnsi="Times New Roman"/>
          <w:sz w:val="18"/>
          <w:szCs w:val="18"/>
          <w:color w:val="auto"/>
        </w:rPr>
        <w:t>(b) When any Interest Shares are to be paid on an Interest Date, the Company shall (i) (A) provided that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credit such aggregate number of Interest Shares to which the Holder shall be entitled to the Holder’s or its designee’s balance account with DTC through its Deposit/Withdrawal at Custodian system, or (B) if the Transfer Agent is not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issue and deliver on the applicable Interest Date, to the address set forth in the register maintained by the Company for such purpose pursuant to the Securities Purchase Agreement or to such address as specified by the Holder in writing to the Company at least two (2) Business Days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w:t>
      </w:r>
    </w:p>
    <w:p>
      <w:pPr>
        <w:spacing w:after="0" w:line="80" w:lineRule="exact"/>
        <w:rPr>
          <w:sz w:val="20"/>
          <w:szCs w:val="20"/>
          <w:color w:val="auto"/>
        </w:rPr>
      </w:pPr>
    </w:p>
    <w:p>
      <w:pPr>
        <w:ind w:left="440" w:firstLine="419"/>
        <w:spacing w:after="0" w:line="254" w:lineRule="auto"/>
        <w:tabs>
          <w:tab w:leader="none" w:pos="110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payment of Interest on an Interest Date, Interest on this Note shall accrue at the Interest Rate and be payable by way of inclusion of the Interest in the Conversion Amount on each Conversion Date in accordance with Section 3(b)(i) or upon any redemption in accordance with Section 13 or any required payment upon any Bankruptcy Event of Default. From and after the occurrence and during the continuance of any Event of Default, the Interest Rate shall automatically be increased to seventeen percent (17.0%) per annum (the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In the event that such Event of Default is subsequently cured (and no other Event of Default then exists, including, without limitation,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earlier of (x) the record date for the Shoe Business Sale Dividend and (y) June 15, 2026, this Note shall be convertible into validly issued, fully paid and non-assessable shares of Common Stock (as defined below), on the terms and conditions set forth in this Section 3.</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8" w:name="page79"/>
    <w:bookmarkEnd w:id="78"/>
    <w:p>
      <w:pPr>
        <w:ind w:left="44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72" w:lineRule="exact"/>
        <w:rPr>
          <w:sz w:val="20"/>
          <w:szCs w:val="20"/>
          <w:color w:val="auto"/>
        </w:rPr>
      </w:pPr>
    </w:p>
    <w:p>
      <w:pPr>
        <w:ind w:left="444" w:firstLine="419"/>
        <w:spacing w:after="0" w:line="282" w:lineRule="auto"/>
        <w:tabs>
          <w:tab w:leader="none" w:pos="112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984" w:right="300" w:firstLine="408"/>
        <w:spacing w:after="0" w:line="263" w:lineRule="auto"/>
        <w:tabs>
          <w:tab w:leader="none" w:pos="16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portion of the Principal of this Note to be converted, redeemed or otherwise with respect to which this determination is being made, (B) accrued and unpaid Interest with respect to such Principal of this Note,</w:t>
      </w:r>
    </w:p>
    <w:p>
      <w:pPr>
        <w:ind w:left="984" w:right="140" w:firstLine="7"/>
        <w:spacing w:after="0" w:line="260" w:lineRule="auto"/>
        <w:tabs>
          <w:tab w:leader="none" w:pos="127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Late Charges with respect to such Principal of this Note and Interest, and (E) any other unpaid amounts pursuant to the Transaction Documents, if any.</w:t>
      </w:r>
    </w:p>
    <w:p>
      <w:pPr>
        <w:spacing w:after="0" w:line="69" w:lineRule="exact"/>
        <w:rPr>
          <w:sz w:val="20"/>
          <w:szCs w:val="20"/>
          <w:color w:val="auto"/>
        </w:rPr>
      </w:pPr>
    </w:p>
    <w:p>
      <w:pPr>
        <w:ind w:left="984" w:right="380" w:firstLine="401"/>
        <w:spacing w:after="0" w:line="21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subject to adjustment as provided herein.</w:t>
      </w:r>
    </w:p>
    <w:p>
      <w:pPr>
        <w:spacing w:after="0" w:line="91" w:lineRule="exact"/>
        <w:rPr>
          <w:sz w:val="20"/>
          <w:szCs w:val="20"/>
          <w:color w:val="auto"/>
        </w:rPr>
      </w:pPr>
    </w:p>
    <w:p>
      <w:pPr>
        <w:ind w:left="1104" w:hanging="241"/>
        <w:spacing w:after="0"/>
        <w:tabs>
          <w:tab w:leader="none" w:pos="11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4" w:firstLine="408"/>
        <w:spacing w:after="0" w:line="253" w:lineRule="auto"/>
        <w:tabs>
          <w:tab w:leader="none" w:pos="16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the Holder 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of confirmation of receipt of such Conversion Notice and representation as to whether such shares of Common Stock may then be resold pursuant to Rule 144 or an effective and available registration statement (each, an “</w:t>
      </w: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to the Holder and the Transfer Agent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8" w:lineRule="exact"/>
        <w:rPr>
          <w:sz w:val="20"/>
          <w:szCs w:val="20"/>
          <w:color w:val="auto"/>
        </w:rPr>
      </w:pPr>
    </w:p>
    <w:p>
      <w:pPr>
        <w:ind w:left="424" w:right="60" w:hanging="424"/>
        <w:spacing w:after="0" w:line="220" w:lineRule="auto"/>
        <w:tabs>
          <w:tab w:leader="none" w:pos="424" w:val="left"/>
        </w:tabs>
        <w:numPr>
          <w:ilvl w:val="0"/>
          <w:numId w:val="1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120% of the lower of (x) the Closing Bid Price of the Common Stock on the Trading Day ended immediately prior to the time of initial filing of the initial preliminary proxy with respect to the Shoe Business Sale and (y) the Closing Bid Price on the Trading Day ended immediately preceding the Initial Closing Date.</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79" w:name="page80"/>
    <w:bookmarkEnd w:id="7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(1) provided that the Transfer Agent is participating in FAST, credit such aggregate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(1) Business Day after receipt of this Note and at its own expense, issue and deliver to the Holder (or its designee) a new Note (in accordance with Section 20(d)) representing the outstanding Principal not converted; provided, that during such period the Holder shall be permitted to convert such new Note regardless of the date the actual certificate evidencing such new Note is delivered to the Holder (or its designee). The Person or Persons entitled to receive the shares of Common Stock issuable upon a conversion of this Note shall be treated for all purposes as the record holder or holders of such shares of Common Stock on the Conversion Date; provided, that the Holder shall be deemed to have waived any voting rights of any such Common Stock, that may arise with respect to the period commencing on such Conversion Date, through, and including, such applicable Share Delivery Deadline (each, an “</w:t>
      </w:r>
      <w:r>
        <w:rPr>
          <w:rFonts w:ascii="Times New Roman" w:cs="Times New Roman" w:eastAsia="Times New Roman" w:hAnsi="Times New Roman"/>
          <w:sz w:val="18"/>
          <w:szCs w:val="18"/>
          <w:b w:val="1"/>
          <w:bCs w:val="1"/>
          <w:color w:val="auto"/>
        </w:rPr>
        <w:t>Conversion Period</w:t>
      </w:r>
      <w:r>
        <w:rPr>
          <w:rFonts w:ascii="Times New Roman" w:cs="Times New Roman" w:eastAsia="Times New Roman" w:hAnsi="Times New Roman"/>
          <w:sz w:val="18"/>
          <w:szCs w:val="18"/>
          <w:color w:val="auto"/>
        </w:rPr>
        <w:t>”), as necessary, such that the aggregate voting rights of any Common Stock beneficially owned by the Holder and/or any Attribution Parties, collectively, on any date of determination shall not exceed the Maximum Percentage (as defined below) as a result of any such conversion of this Note.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w:t>
      </w:r>
    </w:p>
    <w:p>
      <w:pPr>
        <w:spacing w:after="0" w:line="81" w:lineRule="exact"/>
        <w:rPr>
          <w:sz w:val="20"/>
          <w:szCs w:val="20"/>
          <w:color w:val="auto"/>
        </w:rPr>
      </w:pPr>
    </w:p>
    <w:p>
      <w:pPr>
        <w:ind w:right="40" w:firstLine="408"/>
        <w:spacing w:after="0" w:line="256" w:lineRule="auto"/>
        <w:tabs>
          <w:tab w:leader="none" w:pos="66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Deadline, either (I)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or (II) if the Registration Statement</w:t>
      </w:r>
    </w:p>
    <w:p>
      <w:pPr>
        <w:spacing w:after="0" w:line="1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20" w:top="266" w:right="459" w:bottom="1440" w:gutter="0" w:footer="0" w:header="0"/>
        </w:sectPr>
      </w:pPr>
    </w:p>
    <w:bookmarkStart w:id="80" w:name="page81"/>
    <w:bookmarkEnd w:id="8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covering the resale of the shares of Common Stock that are the subject of the Conversion Notice (the “</w:t>
      </w:r>
      <w:r>
        <w:rPr>
          <w:rFonts w:ascii="Times New Roman" w:cs="Times New Roman" w:eastAsia="Times New Roman" w:hAnsi="Times New Roman"/>
          <w:sz w:val="18"/>
          <w:szCs w:val="18"/>
          <w:b w:val="1"/>
          <w:bCs w:val="1"/>
          <w:color w:val="auto"/>
        </w:rPr>
        <w:t>Unavailable Conversion Shares</w:t>
      </w:r>
      <w:r>
        <w:rPr>
          <w:rFonts w:ascii="Times New Roman" w:cs="Times New Roman" w:eastAsia="Times New Roman" w:hAnsi="Times New Roman"/>
          <w:sz w:val="18"/>
          <w:szCs w:val="18"/>
          <w:color w:val="auto"/>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 to the Holder on each day after such Share Delivery Deadline that the issuance of such shares of Common Stock is not timely effected an amount equal to 2%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either (A)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w:t>
      </w:r>
    </w:p>
    <w:p>
      <w:pPr>
        <w:spacing w:after="0" w:line="1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20" w:top="266" w:right="459" w:bottom="1440" w:gutter="0" w:footer="0" w:header="0"/>
        </w:sectPr>
      </w:pPr>
    </w:p>
    <w:bookmarkStart w:id="81" w:name="page82"/>
    <w:bookmarkEnd w:id="8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 w:cs="Times New Roman" w:eastAsia="Times New Roman" w:hAnsi="Times New Roman"/>
          <w:sz w:val="18"/>
          <w:szCs w:val="18"/>
          <w:b w:val="1"/>
          <w:bCs w:val="1"/>
          <w:color w:val="auto"/>
        </w:rPr>
        <w:t>Buy-In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80" w:lineRule="exact"/>
        <w:rPr>
          <w:sz w:val="20"/>
          <w:szCs w:val="20"/>
          <w:color w:val="auto"/>
        </w:rPr>
      </w:pPr>
    </w:p>
    <w:p>
      <w:pPr>
        <w:ind w:firstLine="408"/>
        <w:spacing w:after="0" w:line="252" w:lineRule="auto"/>
        <w:tabs>
          <w:tab w:leader="none" w:pos="7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w:t>
      </w:r>
    </w:p>
    <w:p>
      <w:pPr>
        <w:spacing w:after="0" w:line="1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20" w:top="270" w:right="479" w:bottom="1440" w:gutter="0" w:footer="0" w:header="0"/>
        </w:sectPr>
      </w:pPr>
    </w:p>
    <w:bookmarkStart w:id="82" w:name="page83"/>
    <w:bookmarkEnd w:id="82"/>
    <w:p>
      <w:pPr>
        <w:ind w:left="12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68" w:lineRule="exact"/>
        <w:rPr>
          <w:sz w:val="20"/>
          <w:szCs w:val="20"/>
          <w:color w:val="auto"/>
        </w:rPr>
      </w:pPr>
    </w:p>
    <w:p>
      <w:pPr>
        <w:ind w:left="121" w:firstLine="408"/>
        <w:spacing w:after="0" w:line="255" w:lineRule="auto"/>
        <w:tabs>
          <w:tab w:leader="none" w:pos="826"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w:t>
      </w:r>
    </w:p>
    <w:p>
      <w:pPr>
        <w:spacing w:after="0" w:line="80"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60" w:firstLine="408"/>
        <w:spacing w:after="0" w:line="268" w:lineRule="auto"/>
        <w:tabs>
          <w:tab w:leader="none" w:pos="736"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w:t>
      </w:r>
    </w:p>
    <w:p>
      <w:pPr>
        <w:ind w:left="121" w:firstLine="7"/>
        <w:spacing w:after="0" w:line="251" w:lineRule="auto"/>
        <w:tabs>
          <w:tab w:leader="none" w:pos="41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w:t>
      </w:r>
    </w:p>
    <w:p>
      <w:pPr>
        <w:spacing w:after="0" w:line="126"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41"/>
          </w:cols>
          <w:pgMar w:left="1299" w:top="270"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after such notice is delivered to the Company and</w:t>
      </w:r>
    </w:p>
    <w:p>
      <w:pPr>
        <w:spacing w:after="0" w:line="7" w:lineRule="exact"/>
        <w:rPr>
          <w:sz w:val="20"/>
          <w:szCs w:val="20"/>
          <w:color w:val="auto"/>
        </w:rPr>
      </w:pPr>
    </w:p>
    <w:p>
      <w:pPr>
        <w:ind w:right="20" w:firstLine="7"/>
        <w:spacing w:after="0" w:line="251" w:lineRule="auto"/>
        <w:tabs>
          <w:tab w:leader="none" w:pos="2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waived or amended and shall apply to a successor holder of this Note.</w:t>
      </w:r>
    </w:p>
    <w:p>
      <w:pPr>
        <w:spacing w:after="0" w:line="1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40"/>
          </w:cols>
          <w:pgMar w:left="1420" w:top="270" w:right="439" w:bottom="1440" w:gutter="0" w:footer="0" w:header="0"/>
        </w:sectPr>
      </w:pPr>
    </w:p>
    <w:bookmarkStart w:id="84" w:name="page85"/>
    <w:bookmarkEnd w:id="84"/>
    <w:p>
      <w:pPr>
        <w:ind w:left="121" w:right="100" w:firstLine="408"/>
        <w:spacing w:after="0" w:line="267" w:lineRule="auto"/>
        <w:tabs>
          <w:tab w:leader="none" w:pos="786"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[INSERT IN INITIAL NOTE ONLY: </w:t>
      </w:r>
      <w:r>
        <w:rPr>
          <w:rFonts w:ascii="Times New Roman" w:cs="Times New Roman" w:eastAsia="Times New Roman" w:hAnsi="Times New Roman"/>
          <w:sz w:val="17"/>
          <w:szCs w:val="17"/>
          <w:u w:val="single" w:color="auto"/>
          <w:color w:val="auto"/>
        </w:rPr>
        <w:t>Principal Market Regulation</w:t>
      </w:r>
      <w:r>
        <w:rPr>
          <w:rFonts w:ascii="Times New Roman" w:cs="Times New Roman" w:eastAsia="Times New Roman" w:hAnsi="Times New Roman"/>
          <w:sz w:val="17"/>
          <w:szCs w:val="17"/>
          <w:color w:val="auto"/>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(as the case may be) without breaching the Company’s obligations under the rules or regulations of the Principal Market (the number of shares which may be issued without violating such rules and regulations, including rules related to the aggregate of offerings under NASDAQ Listing Rule 5635(d), the “</w:t>
      </w:r>
      <w:r>
        <w:rPr>
          <w:rFonts w:ascii="Times New Roman" w:cs="Times New Roman" w:eastAsia="Times New Roman" w:hAnsi="Times New Roman"/>
          <w:sz w:val="17"/>
          <w:szCs w:val="17"/>
          <w:b w:val="1"/>
          <w:bCs w:val="1"/>
          <w:color w:val="auto"/>
        </w:rPr>
        <w:t>Exchange Cap</w:t>
      </w:r>
      <w:r>
        <w:rPr>
          <w:rFonts w:ascii="Times New Roman" w:cs="Times New Roman" w:eastAsia="Times New Roman" w:hAnsi="Times New Roman"/>
          <w:sz w:val="17"/>
          <w:szCs w:val="17"/>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w:t>
      </w:r>
    </w:p>
    <w:p>
      <w:pPr>
        <w:spacing w:after="0" w:line="2" w:lineRule="exact"/>
        <w:rPr>
          <w:rFonts w:ascii="Times New Roman" w:cs="Times New Roman" w:eastAsia="Times New Roman" w:hAnsi="Times New Roman"/>
          <w:sz w:val="17"/>
          <w:szCs w:val="17"/>
          <w:color w:val="auto"/>
        </w:rPr>
      </w:pPr>
    </w:p>
    <w:p>
      <w:pPr>
        <w:ind w:left="121" w:firstLine="7"/>
        <w:spacing w:after="0" w:line="251" w:lineRule="auto"/>
        <w:tabs>
          <w:tab w:leader="none" w:pos="37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principal amount of Notes issued to such Buyer pursuant to the Securities Purchase Agreement on the Initial Closing Date (as defined in the Securities Purchase Agreement) divided by (2) the aggregate original principal amount of all Notes issued to the Buyers pursuant to the Securities Purchase Agreement on the Initial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Notes.][INSERT IN ADDITIONAL NOTES: [Intentionally Omitted]]</w:t>
      </w:r>
    </w:p>
    <w:p>
      <w:pPr>
        <w:spacing w:after="0" w:line="84"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Alternate Conversion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41" w:hanging="212"/>
        <w:spacing w:after="0"/>
        <w:tabs>
          <w:tab w:leader="none" w:pos="741"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21" w:right="200" w:firstLine="910"/>
        <w:spacing w:after="0" w:line="261" w:lineRule="auto"/>
        <w:tabs>
          <w:tab w:leader="none" w:pos="1277" w:val="left"/>
        </w:tabs>
        <w:numPr>
          <w:ilvl w:val="3"/>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Optional Conversion</w:t>
      </w:r>
      <w:r>
        <w:rPr>
          <w:rFonts w:ascii="Times New Roman" w:cs="Times New Roman" w:eastAsia="Times New Roman" w:hAnsi="Times New Roman"/>
          <w:sz w:val="18"/>
          <w:szCs w:val="18"/>
          <w:color w:val="auto"/>
        </w:rPr>
        <w:t>. Subject to Section 3(d), at any time, at the option of the Holder, the Holder may convert (each, an “</w:t>
      </w:r>
      <w:r>
        <w:rPr>
          <w:rFonts w:ascii="Times New Roman" w:cs="Times New Roman" w:eastAsia="Times New Roman" w:hAnsi="Times New Roman"/>
          <w:sz w:val="18"/>
          <w:szCs w:val="18"/>
          <w:b w:val="1"/>
          <w:bCs w:val="1"/>
          <w:color w:val="auto"/>
        </w:rPr>
        <w:t>Alternate Optional Conversion</w:t>
      </w:r>
      <w:r>
        <w:rPr>
          <w:rFonts w:ascii="Times New Roman" w:cs="Times New Roman" w:eastAsia="Times New Roman" w:hAnsi="Times New Roman"/>
          <w:sz w:val="18"/>
          <w:szCs w:val="18"/>
          <w:color w:val="auto"/>
        </w:rPr>
        <w:t>”, and the date of such Alternate Optional Conversion, an “</w:t>
      </w:r>
      <w:r>
        <w:rPr>
          <w:rFonts w:ascii="Times New Roman" w:cs="Times New Roman" w:eastAsia="Times New Roman" w:hAnsi="Times New Roman"/>
          <w:sz w:val="18"/>
          <w:szCs w:val="18"/>
          <w:b w:val="1"/>
          <w:bCs w:val="1"/>
          <w:color w:val="auto"/>
        </w:rPr>
        <w:t>Alternate Optional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all, or any part, of this Note into shares of Common Stock (such portion of the Conversion Amount subject to such 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Optional Conversion, the “</w:t>
      </w:r>
      <w:r>
        <w:rPr>
          <w:rFonts w:ascii="Times New Roman" w:cs="Times New Roman" w:eastAsia="Times New Roman" w:hAnsi="Times New Roman"/>
          <w:sz w:val="18"/>
          <w:szCs w:val="18"/>
          <w:b w:val="1"/>
          <w:bCs w:val="1"/>
          <w:color w:val="auto"/>
        </w:rPr>
        <w:t>Alternate Optional Conversion Amount</w:t>
      </w:r>
      <w:r>
        <w:rPr>
          <w:rFonts w:ascii="Times New Roman" w:cs="Times New Roman" w:eastAsia="Times New Roman" w:hAnsi="Times New Roman"/>
          <w:sz w:val="18"/>
          <w:szCs w:val="18"/>
          <w:color w:val="auto"/>
        </w:rPr>
        <w:t>”) at the Alternate Conversion Price.</w:t>
      </w:r>
    </w:p>
    <w:p>
      <w:pPr>
        <w:spacing w:after="0" w:line="112"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21"/>
          </w:cols>
          <w:pgMar w:left="1299" w:top="270" w:right="479" w:bottom="1440" w:gutter="0" w:footer="0" w:header="0"/>
        </w:sectPr>
      </w:pPr>
    </w:p>
    <w:bookmarkStart w:id="85" w:name="page86"/>
    <w:bookmarkEnd w:id="85"/>
    <w:p>
      <w:pPr>
        <w:ind w:left="-20" w:firstLine="910"/>
        <w:spacing w:after="0" w:line="254" w:lineRule="auto"/>
        <w:tabs>
          <w:tab w:leader="none" w:pos="11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Alternate Conversion Upon an Event of Default</w:t>
      </w:r>
      <w:r>
        <w:rPr>
          <w:rFonts w:ascii="Times New Roman" w:cs="Times New Roman" w:eastAsia="Times New Roman" w:hAnsi="Times New Roman"/>
          <w:sz w:val="18"/>
          <w:szCs w:val="18"/>
          <w:color w:val="auto"/>
        </w:rPr>
        <w:t>. Subject to Section 3(d), at any time after the occurrence of an Event of Default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 w:cs="Times New Roman" w:eastAsia="Times New Roman" w:hAnsi="Times New Roman"/>
          <w:sz w:val="18"/>
          <w:szCs w:val="18"/>
          <w:b w:val="1"/>
          <w:bCs w:val="1"/>
          <w:color w:val="auto"/>
        </w:rPr>
        <w:t>Alternate Event of Default Conversion</w:t>
      </w:r>
      <w:r>
        <w:rPr>
          <w:rFonts w:ascii="Times New Roman" w:cs="Times New Roman" w:eastAsia="Times New Roman" w:hAnsi="Times New Roman"/>
          <w:sz w:val="18"/>
          <w:szCs w:val="18"/>
          <w:color w:val="auto"/>
        </w:rPr>
        <w:t>” and together with each Alternate Optional Conversion, each, an “</w:t>
      </w:r>
      <w:r>
        <w:rPr>
          <w:rFonts w:ascii="Times New Roman" w:cs="Times New Roman" w:eastAsia="Times New Roman" w:hAnsi="Times New Roman"/>
          <w:sz w:val="18"/>
          <w:szCs w:val="18"/>
          <w:b w:val="1"/>
          <w:bCs w:val="1"/>
          <w:color w:val="auto"/>
        </w:rPr>
        <w:t>Alternate Conversion</w:t>
      </w:r>
      <w:r>
        <w:rPr>
          <w:rFonts w:ascii="Times New Roman" w:cs="Times New Roman" w:eastAsia="Times New Roman" w:hAnsi="Times New Roman"/>
          <w:sz w:val="18"/>
          <w:szCs w:val="18"/>
          <w:color w:val="auto"/>
        </w:rPr>
        <w:t>”, and the date of such Alternate Event of Default Conversion, each, an “</w:t>
      </w:r>
      <w:r>
        <w:rPr>
          <w:rFonts w:ascii="Times New Roman" w:cs="Times New Roman" w:eastAsia="Times New Roman" w:hAnsi="Times New Roman"/>
          <w:sz w:val="18"/>
          <w:szCs w:val="18"/>
          <w:b w:val="1"/>
          <w:bCs w:val="1"/>
          <w:color w:val="auto"/>
        </w:rPr>
        <w:t>Alternate Event of Default Conversion Date</w:t>
      </w:r>
      <w:r>
        <w:rPr>
          <w:rFonts w:ascii="Times New Roman" w:cs="Times New Roman" w:eastAsia="Times New Roman" w:hAnsi="Times New Roman"/>
          <w:sz w:val="18"/>
          <w:szCs w:val="18"/>
          <w:color w:val="auto"/>
        </w:rPr>
        <w:t>”, and together with each Alternate Optional Conversion Date, each, an “</w:t>
      </w:r>
      <w:r>
        <w:rPr>
          <w:rFonts w:ascii="Times New Roman" w:cs="Times New Roman" w:eastAsia="Times New Roman" w:hAnsi="Times New Roman"/>
          <w:sz w:val="18"/>
          <w:szCs w:val="18"/>
          <w:b w:val="1"/>
          <w:bCs w:val="1"/>
          <w:color w:val="auto"/>
        </w:rPr>
        <w:t>Alternate Conversion Date</w:t>
      </w:r>
      <w:r>
        <w:rPr>
          <w:rFonts w:ascii="Times New Roman" w:cs="Times New Roman" w:eastAsia="Times New Roman" w:hAnsi="Times New Roman"/>
          <w:sz w:val="18"/>
          <w:szCs w:val="18"/>
          <w:color w:val="auto"/>
        </w:rPr>
        <w:t>”) all, or any part of, the Conversion Amount (such portion of the Conversion Amount subject to such Alternate Conversion, the “</w:t>
      </w:r>
      <w:r>
        <w:rPr>
          <w:rFonts w:ascii="Times New Roman" w:cs="Times New Roman" w:eastAsia="Times New Roman" w:hAnsi="Times New Roman"/>
          <w:sz w:val="18"/>
          <w:szCs w:val="18"/>
          <w:b w:val="1"/>
          <w:bCs w:val="1"/>
          <w:color w:val="auto"/>
        </w:rPr>
        <w:t>Alternate Event of Default Conversion Amount</w:t>
      </w:r>
      <w:r>
        <w:rPr>
          <w:rFonts w:ascii="Times New Roman" w:cs="Times New Roman" w:eastAsia="Times New Roman" w:hAnsi="Times New Roman"/>
          <w:sz w:val="18"/>
          <w:szCs w:val="18"/>
          <w:color w:val="auto"/>
        </w:rPr>
        <w:t>” and together with each Alternate Optional Conversion Amount, 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shares of Common Stock at the Alternate Conversion Price.</w:t>
      </w:r>
    </w:p>
    <w:p>
      <w:pPr>
        <w:spacing w:after="0" w:line="80" w:lineRule="exact"/>
        <w:rPr>
          <w:rFonts w:ascii="Times New Roman" w:cs="Times New Roman" w:eastAsia="Times New Roman" w:hAnsi="Times New Roman"/>
          <w:sz w:val="18"/>
          <w:szCs w:val="18"/>
          <w:color w:val="auto"/>
        </w:rPr>
      </w:pPr>
    </w:p>
    <w:p>
      <w:pPr>
        <w:ind w:left="-20" w:firstLine="408"/>
        <w:spacing w:after="0" w:line="252" w:lineRule="auto"/>
        <w:tabs>
          <w:tab w:leader="none" w:pos="6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Alternate Conversion</w:t>
      </w:r>
      <w:r>
        <w:rPr>
          <w:rFonts w:ascii="Times New Roman" w:cs="Times New Roman" w:eastAsia="Times New Roman" w:hAnsi="Times New Roman"/>
          <w:sz w:val="18"/>
          <w:szCs w:val="18"/>
          <w:color w:val="auto"/>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w:t>
      </w:r>
    </w:p>
    <w:p>
      <w:pPr>
        <w:spacing w:after="0" w:line="1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00"/>
          </w:cols>
          <w:pgMar w:left="1440" w:top="270" w:right="559" w:bottom="1440" w:gutter="0" w:footer="0" w:header="0"/>
        </w:sectPr>
      </w:pPr>
    </w:p>
    <w:bookmarkStart w:id="86" w:name="page87"/>
    <w:bookmarkEnd w:id="86"/>
    <w:p>
      <w:pPr>
        <w:ind w:left="184" w:hanging="184"/>
        <w:spacing w:after="0"/>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UPON EVENT OF DEFAULT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 w:right="440" w:firstLine="419"/>
        <w:spacing w:after="0" w:line="286" w:lineRule="auto"/>
        <w:tabs>
          <w:tab w:leader="none" w:pos="67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clauses (ix), (x) and (xi)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jc w:val="both"/>
        <w:ind w:left="544" w:firstLine="408"/>
        <w:spacing w:after="0" w:line="261" w:lineRule="auto"/>
        <w:tabs>
          <w:tab w:leader="none" w:pos="115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applicable Registration Statement (as defined in the Registration Rights Agreement) to be filed with the SEC on or prior to the date that is five (5) Business Days after the applicable Filing Deadline (as defined in the Registration Rights Agreement) or the failure of the applicable Registration Statement to be declared effective by the SEC on or prior to the date that is five (5) Business Days after the applicable Effectiveness Deadline (as defined in the Registration Rights Agreement);</w:t>
      </w:r>
    </w:p>
    <w:p>
      <w:pPr>
        <w:spacing w:after="0" w:line="71" w:lineRule="exact"/>
        <w:rPr>
          <w:rFonts w:ascii="Times New Roman" w:cs="Times New Roman" w:eastAsia="Times New Roman" w:hAnsi="Times New Roman"/>
          <w:sz w:val="18"/>
          <w:szCs w:val="18"/>
          <w:color w:val="auto"/>
        </w:rPr>
      </w:pPr>
    </w:p>
    <w:p>
      <w:pPr>
        <w:ind w:left="544" w:right="40" w:firstLine="408"/>
        <w:spacing w:after="0" w:line="255" w:lineRule="auto"/>
        <w:tabs>
          <w:tab w:leader="none" w:pos="120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five (5) consecutive Trading Days or for more than an aggregate of ten (10) Trading Days in any 365-day period (excluding days during an Allowable Grace Period (as defined in the Registration Rights Agreement));</w:t>
      </w:r>
    </w:p>
    <w:p>
      <w:pPr>
        <w:spacing w:after="0" w:line="80" w:lineRule="exact"/>
        <w:rPr>
          <w:rFonts w:ascii="Times New Roman" w:cs="Times New Roman" w:eastAsia="Times New Roman" w:hAnsi="Times New Roman"/>
          <w:sz w:val="18"/>
          <w:szCs w:val="18"/>
          <w:color w:val="auto"/>
        </w:rPr>
      </w:pPr>
    </w:p>
    <w:p>
      <w:pPr>
        <w:ind w:left="544" w:right="180" w:firstLine="408"/>
        <w:spacing w:after="0" w:line="282" w:lineRule="auto"/>
        <w:tabs>
          <w:tab w:leader="none" w:pos="125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threatened suspension) from trading or the failure (or threatened failure) of the Common Stock to be trading or listed (as applicable) on an Eligible Market for a period of five (5) consecutive Trading Days;</w:t>
      </w:r>
    </w:p>
    <w:p>
      <w:pPr>
        <w:spacing w:after="0" w:line="53" w:lineRule="exact"/>
        <w:rPr>
          <w:rFonts w:ascii="Times New Roman" w:cs="Times New Roman" w:eastAsia="Times New Roman" w:hAnsi="Times New Roman"/>
          <w:sz w:val="18"/>
          <w:szCs w:val="18"/>
          <w:color w:val="auto"/>
        </w:rPr>
      </w:pPr>
    </w:p>
    <w:p>
      <w:pPr>
        <w:ind w:left="544" w:right="40" w:firstLine="408"/>
        <w:spacing w:after="0" w:line="258" w:lineRule="auto"/>
        <w:tabs>
          <w:tab w:leader="none" w:pos="124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shares of Common Stock within five (5) Trading Days after the applicable Conversion Date or exercise date (as the case may be)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spacing w:after="0" w:line="75" w:lineRule="exact"/>
        <w:rPr>
          <w:rFonts w:ascii="Times New Roman" w:cs="Times New Roman" w:eastAsia="Times New Roman" w:hAnsi="Times New Roman"/>
          <w:sz w:val="18"/>
          <w:szCs w:val="18"/>
          <w:color w:val="auto"/>
        </w:rPr>
      </w:pPr>
    </w:p>
    <w:p>
      <w:pPr>
        <w:ind w:left="544" w:right="80" w:firstLine="408"/>
        <w:spacing w:after="0" w:line="230" w:lineRule="auto"/>
        <w:tabs>
          <w:tab w:leader="none" w:pos="119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Company is in compliance with Section 12(b) below, at any time following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consecutive day that the Holder’s Authorized Share Allocation (as defined in Section 12(a) below) is less than the number of shares of Common Stock that the Holder would be entitled to receive upon a conversion of the full Conversion Amount of this Note (without regard to any limitations on conversion set forth in Section 3(d) or otherwise);</w:t>
      </w:r>
    </w:p>
    <w:p>
      <w:pPr>
        <w:spacing w:after="0" w:line="90" w:lineRule="exact"/>
        <w:rPr>
          <w:rFonts w:ascii="Times New Roman" w:cs="Times New Roman" w:eastAsia="Times New Roman" w:hAnsi="Times New Roman"/>
          <w:sz w:val="18"/>
          <w:szCs w:val="18"/>
          <w:color w:val="auto"/>
        </w:rPr>
      </w:pPr>
    </w:p>
    <w:p>
      <w:pPr>
        <w:ind w:left="544" w:right="100" w:firstLine="408"/>
        <w:spacing w:after="0" w:line="266" w:lineRule="auto"/>
        <w:tabs>
          <w:tab w:leader="none" w:pos="124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Transaction</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4"/>
          </w:cols>
          <w:pgMar w:left="876" w:top="270" w:right="439" w:bottom="1440" w:gutter="0" w:footer="0" w:header="0"/>
        </w:sectPr>
      </w:pPr>
    </w:p>
    <w:bookmarkStart w:id="87" w:name="page88"/>
    <w:bookmarkEnd w:id="8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two (2) Trading Days;</w:t>
      </w:r>
    </w:p>
    <w:p>
      <w:pPr>
        <w:spacing w:after="0" w:line="68" w:lineRule="exact"/>
        <w:rPr>
          <w:sz w:val="20"/>
          <w:szCs w:val="20"/>
          <w:color w:val="auto"/>
        </w:rPr>
      </w:pPr>
    </w:p>
    <w:p>
      <w:pPr>
        <w:ind w:firstLine="408"/>
        <w:spacing w:after="0" w:line="255" w:lineRule="auto"/>
        <w:tabs>
          <w:tab w:leader="none" w:pos="75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shares of Common Stock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w:t>
      </w:r>
    </w:p>
    <w:p>
      <w:pPr>
        <w:spacing w:after="0" w:line="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w:t>
      </w:r>
    </w:p>
    <w:p>
      <w:pPr>
        <w:spacing w:after="0" w:line="98" w:lineRule="exact"/>
        <w:rPr>
          <w:rFonts w:ascii="Times New Roman" w:cs="Times New Roman" w:eastAsia="Times New Roman" w:hAnsi="Times New Roman"/>
          <w:sz w:val="18"/>
          <w:szCs w:val="18"/>
          <w:color w:val="auto"/>
        </w:rPr>
      </w:pPr>
    </w:p>
    <w:p>
      <w:pPr>
        <w:ind w:right="40" w:firstLine="408"/>
        <w:spacing w:after="0" w:line="261" w:lineRule="auto"/>
        <w:tabs>
          <w:tab w:leader="none" w:pos="8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under, redemption of or acceleration prior to maturity of at least an aggregate of (A) if on or prior to the Shoe Business Sale, $50,000 or (B) after the Shoe Business Sale, $125,000 (as applicable, the “</w:t>
      </w:r>
      <w:r>
        <w:rPr>
          <w:rFonts w:ascii="Times New Roman" w:cs="Times New Roman" w:eastAsia="Times New Roman" w:hAnsi="Times New Roman"/>
          <w:sz w:val="18"/>
          <w:szCs w:val="18"/>
          <w:b w:val="1"/>
          <w:bCs w:val="1"/>
          <w:color w:val="auto"/>
        </w:rPr>
        <w:t>Applicable Default 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Threshold</w:t>
      </w:r>
      <w:r>
        <w:rPr>
          <w:rFonts w:ascii="Times New Roman" w:cs="Times New Roman" w:eastAsia="Times New Roman" w:hAnsi="Times New Roman"/>
          <w:sz w:val="18"/>
          <w:szCs w:val="18"/>
          <w:color w:val="auto"/>
        </w:rPr>
        <w:t>”) of Indebtedness (as defined in the Securities Purchase Agreement) of the Company or any of its Subsidiaries, other than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Other Notes;</w:t>
      </w:r>
    </w:p>
    <w:p>
      <w:pPr>
        <w:spacing w:after="0" w:line="71" w:lineRule="exact"/>
        <w:rPr>
          <w:rFonts w:ascii="Times New Roman" w:cs="Times New Roman" w:eastAsia="Times New Roman" w:hAnsi="Times New Roman"/>
          <w:sz w:val="18"/>
          <w:szCs w:val="18"/>
          <w:color w:val="auto"/>
        </w:rPr>
      </w:pPr>
    </w:p>
    <w:p>
      <w:pPr>
        <w:ind w:right="20" w:firstLine="408"/>
        <w:spacing w:after="0" w:line="266" w:lineRule="auto"/>
        <w:tabs>
          <w:tab w:leader="none" w:pos="7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67" w:lineRule="exact"/>
        <w:rPr>
          <w:rFonts w:ascii="Times New Roman" w:cs="Times New Roman" w:eastAsia="Times New Roman" w:hAnsi="Times New Roman"/>
          <w:sz w:val="18"/>
          <w:szCs w:val="18"/>
          <w:color w:val="auto"/>
        </w:rPr>
      </w:pPr>
    </w:p>
    <w:p>
      <w:pPr>
        <w:ind w:right="60" w:firstLine="408"/>
        <w:spacing w:after="0" w:line="253" w:lineRule="auto"/>
        <w:tabs>
          <w:tab w:leader="none" w:pos="65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20" w:top="270" w:right="479" w:bottom="1440" w:gutter="0" w:footer="0" w:header="0"/>
        </w:sectPr>
      </w:pPr>
    </w:p>
    <w:bookmarkStart w:id="88" w:name="page89"/>
    <w:bookmarkEnd w:id="88"/>
    <w:p>
      <w:pPr>
        <w:ind w:left="-20" w:firstLine="408"/>
        <w:spacing w:after="0" w:line="254" w:lineRule="auto"/>
        <w:tabs>
          <w:tab w:leader="none" w:pos="6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80" w:lineRule="exact"/>
        <w:rPr>
          <w:rFonts w:ascii="Times New Roman" w:cs="Times New Roman" w:eastAsia="Times New Roman" w:hAnsi="Times New Roman"/>
          <w:sz w:val="18"/>
          <w:szCs w:val="18"/>
          <w:color w:val="auto"/>
        </w:rPr>
      </w:pPr>
    </w:p>
    <w:p>
      <w:pPr>
        <w:ind w:left="-20" w:right="140" w:firstLine="408"/>
        <w:spacing w:after="0" w:line="254" w:lineRule="auto"/>
        <w:tabs>
          <w:tab w:leader="none" w:pos="7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the Applicable Default Dollar Threshold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Applicable Default Dollar Threshold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83" w:lineRule="exact"/>
        <w:rPr>
          <w:rFonts w:ascii="Times New Roman" w:cs="Times New Roman" w:eastAsia="Times New Roman" w:hAnsi="Times New Roman"/>
          <w:sz w:val="18"/>
          <w:szCs w:val="18"/>
          <w:color w:val="auto"/>
        </w:rPr>
      </w:pPr>
    </w:p>
    <w:p>
      <w:pPr>
        <w:ind w:left="-20" w:right="160" w:firstLine="408"/>
        <w:spacing w:after="0" w:line="255" w:lineRule="auto"/>
        <w:tabs>
          <w:tab w:leader="none" w:pos="7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individually or in the aggregate, fails to pay, when due, or within any applicable grace period, any payment with respect to any Indebtedness in excess of the Applicable Default Dollar Threshold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the Applicable Default Dollar Threshold, which breach or violation permits the other party thereto to declare a default or otherwise accelerate amounts due thereunder;</w:t>
      </w:r>
    </w:p>
    <w:p>
      <w:pPr>
        <w:spacing w:after="0" w:line="80"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7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the Company or any Subsidiary breaches any representation or warranty, or any covenant or other term or condition of any Transaction Document, except, in the case of a breach of a covenant or other term or condition that is curable, only if such breach remains uncured for a period of two (2) consecutive Trading Days;</w:t>
      </w:r>
    </w:p>
    <w:p>
      <w:pPr>
        <w:spacing w:after="0" w:line="67"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72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false or inaccurate certification (including a false or inaccurate deemed certification) by the Company that either (A) the Equity Conditions are satisfied, (B) there has been no Equity Conditions Failure, or (C) as to whether any Event of Default has occurred;</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80"/>
          </w:cols>
          <w:pgMar w:left="1440" w:top="270" w:right="479" w:bottom="1440" w:gutter="0" w:footer="0" w:header="0"/>
        </w:sectPr>
      </w:pPr>
    </w:p>
    <w:bookmarkStart w:id="89" w:name="page90"/>
    <w:bookmarkEnd w:id="89"/>
    <w:p>
      <w:pPr>
        <w:ind w:left="780" w:hanging="392"/>
        <w:spacing w:after="0"/>
        <w:tabs>
          <w:tab w:leader="none" w:pos="7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breach or failure in any respect by the Company or any Subsidiary to comply with any provision of Section 15 of this Note;</w:t>
      </w:r>
    </w:p>
    <w:p>
      <w:pPr>
        <w:spacing w:after="0" w:line="128" w:lineRule="exact"/>
        <w:rPr>
          <w:rFonts w:ascii="Times New Roman" w:cs="Times New Roman" w:eastAsia="Times New Roman" w:hAnsi="Times New Roman"/>
          <w:sz w:val="17"/>
          <w:szCs w:val="17"/>
          <w:color w:val="auto"/>
        </w:rPr>
      </w:pPr>
    </w:p>
    <w:p>
      <w:pPr>
        <w:ind w:left="840" w:hanging="452"/>
        <w:spacing w:after="0"/>
        <w:tabs>
          <w:tab w:leader="none" w:pos="8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Shoe Business Sale fails to occur on or prior to June 30, 2026;</w:t>
      </w:r>
    </w:p>
    <w:p>
      <w:pPr>
        <w:spacing w:after="0" w:line="117" w:lineRule="exact"/>
        <w:rPr>
          <w:rFonts w:ascii="Times New Roman" w:cs="Times New Roman" w:eastAsia="Times New Roman" w:hAnsi="Times New Roman"/>
          <w:sz w:val="18"/>
          <w:szCs w:val="18"/>
          <w:color w:val="auto"/>
        </w:rPr>
      </w:pPr>
    </w:p>
    <w:p>
      <w:pPr>
        <w:ind w:left="-20" w:right="240" w:firstLine="408"/>
        <w:spacing w:after="0" w:line="266" w:lineRule="auto"/>
        <w:tabs>
          <w:tab w:leader="none" w:pos="8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Shoe Sale Closing Time (as defined below) no more than $5 million of indebtedness (including, without limitation, Indebtedness, but excluding the Notes and the Other Notes) of the Company and its Subsidiaries, in the aggregate, remains outstanding;</w:t>
      </w:r>
    </w:p>
    <w:p>
      <w:pPr>
        <w:spacing w:after="0" w:line="67" w:lineRule="exact"/>
        <w:rPr>
          <w:rFonts w:ascii="Times New Roman" w:cs="Times New Roman" w:eastAsia="Times New Roman" w:hAnsi="Times New Roman"/>
          <w:sz w:val="18"/>
          <w:szCs w:val="18"/>
          <w:color w:val="auto"/>
        </w:rPr>
      </w:pPr>
    </w:p>
    <w:p>
      <w:pPr>
        <w:jc w:val="both"/>
        <w:ind w:left="-20" w:right="460" w:firstLine="408"/>
        <w:spacing w:after="0" w:line="266" w:lineRule="auto"/>
        <w:tabs>
          <w:tab w:leader="none" w:pos="7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GPU Lease (including, without limitation, the failure to sweep all, or any part, of any payment amounts thereunder into the Blocked Controlled Account (as defined in the Security Agreement) and/or the failure by the lessee to make any payments as and when required thereunder and/or); or</w:t>
      </w:r>
    </w:p>
    <w:p>
      <w:pPr>
        <w:spacing w:after="0" w:line="6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(as defined in the Securities Purchase Agreement) occurs;</w:t>
      </w:r>
    </w:p>
    <w:p>
      <w:pPr>
        <w:spacing w:after="0" w:line="117"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7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(including, without limitation, the Security Documents and the Guaranties)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and the Guaranties);</w:t>
      </w:r>
    </w:p>
    <w:p>
      <w:pPr>
        <w:spacing w:after="0" w:line="79"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8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shall for any reason fail or cease to create a separate valid and perfected and, except to the extent permitted by the terms hereof or thereof, first priority Lien (as defined in the Securities Purchase Agreement) on the Collateral (as defined in the Security Documents)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79"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8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would reasonably be expected to have a Material Adverse Effect; or</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80"/>
          </w:cols>
          <w:pgMar w:left="1440" w:top="270" w:right="479" w:bottom="1440" w:gutter="0" w:footer="0" w:header="0"/>
        </w:sectPr>
      </w:pPr>
    </w:p>
    <w:bookmarkStart w:id="90" w:name="page91"/>
    <w:bookmarkEnd w:id="90"/>
    <w:p>
      <w:pPr>
        <w:ind w:left="1440" w:hanging="492"/>
        <w:spacing w:after="0"/>
        <w:tabs>
          <w:tab w:leader="none" w:pos="14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Event of Default (as defined in the Other Notes) occurs with respect to any Other Notes.</w:t>
      </w:r>
    </w:p>
    <w:p>
      <w:pPr>
        <w:spacing w:after="0" w:line="117" w:lineRule="exact"/>
        <w:rPr>
          <w:rFonts w:ascii="Times New Roman" w:cs="Times New Roman" w:eastAsia="Times New Roman" w:hAnsi="Times New Roman"/>
          <w:sz w:val="18"/>
          <w:szCs w:val="18"/>
          <w:color w:val="auto"/>
        </w:rPr>
      </w:pPr>
    </w:p>
    <w:p>
      <w:pPr>
        <w:ind w:firstLine="419"/>
        <w:spacing w:after="0" w:line="251"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Company shall within two (2) Business Days after the occurrence of such Event of Default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(regardless of whether such Event of Default has been cured)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Redemptions required by this Section 4(b) shall be made in accordance with the provisions of Section 13. To the extent redemptions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this Section 4(b) are deemed or determined by a court of competent jurisdiction to be prepayments of this Note by the Company, such redemptions shall be deemed to be voluntary prepayments. Notwithstanding anything to the contrary in this Section 3(e),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97" w:lineRule="exact"/>
        <w:rPr>
          <w:rFonts w:ascii="Times New Roman" w:cs="Times New Roman" w:eastAsia="Times New Roman" w:hAnsi="Times New Roman"/>
          <w:sz w:val="18"/>
          <w:szCs w:val="18"/>
          <w:color w:val="auto"/>
        </w:rPr>
      </w:pPr>
    </w:p>
    <w:p>
      <w:pPr>
        <w:ind w:right="160" w:firstLine="419"/>
        <w:spacing w:after="0" w:line="289" w:lineRule="auto"/>
        <w:tabs>
          <w:tab w:leader="none" w:pos="66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Redemption upon Bankruptcy Event of Default</w:t>
      </w:r>
      <w:r>
        <w:rPr>
          <w:rFonts w:ascii="Times New Roman" w:cs="Times New Roman" w:eastAsia="Times New Roman" w:hAnsi="Times New Roman"/>
          <w:sz w:val="17"/>
          <w:szCs w:val="17"/>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91" w:name="page92"/>
    <w:bookmarkEnd w:id="91"/>
    <w:p>
      <w:pPr>
        <w:ind w:left="4" w:right="1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accrued and unpaid Late Charges on such Principal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168" w:lineRule="exact"/>
        <w:rPr>
          <w:sz w:val="20"/>
          <w:szCs w:val="20"/>
          <w:color w:val="auto"/>
        </w:rPr>
      </w:pPr>
    </w:p>
    <w:p>
      <w:pPr>
        <w:ind w:left="184" w:hanging="184"/>
        <w:spacing w:after="0"/>
        <w:tabs>
          <w:tab w:leader="none" w:pos="1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7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13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4"/>
          </w:cols>
          <w:pgMar w:left="876" w:top="270" w:right="479" w:bottom="1440" w:gutter="0" w:footer="0" w:header="0"/>
        </w:sectPr>
      </w:pPr>
    </w:p>
    <w:bookmarkStart w:id="92" w:name="page93"/>
    <w:bookmarkEnd w:id="92"/>
    <w:p>
      <w:pPr>
        <w:ind w:left="4" w:firstLine="419"/>
        <w:spacing w:after="0" w:line="267" w:lineRule="auto"/>
        <w:tabs>
          <w:tab w:leader="none" w:pos="68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 Change of Control; Redemption Right</w:t>
      </w:r>
      <w:r>
        <w:rPr>
          <w:rFonts w:ascii="Times New Roman" w:cs="Times New Roman" w:eastAsia="Times New Roman" w:hAnsi="Times New Roman"/>
          <w:sz w:val="17"/>
          <w:szCs w:val="17"/>
          <w:color w:val="auto"/>
        </w:rPr>
        <w:t>. No sooner than twenty (20) Trading Days nor later than ten (10) Trading Days prior to the consummation of a Change of Control (the “</w:t>
      </w:r>
      <w:r>
        <w:rPr>
          <w:rFonts w:ascii="Times New Roman" w:cs="Times New Roman" w:eastAsia="Times New Roman" w:hAnsi="Times New Roman"/>
          <w:sz w:val="17"/>
          <w:szCs w:val="17"/>
          <w:b w:val="1"/>
          <w:bCs w:val="1"/>
          <w:color w:val="auto"/>
        </w:rPr>
        <w:t>Change of Control Date</w:t>
      </w:r>
      <w:r>
        <w:rPr>
          <w:rFonts w:ascii="Times New Roman" w:cs="Times New Roman" w:eastAsia="Times New Roman" w:hAnsi="Times New Roman"/>
          <w:sz w:val="17"/>
          <w:szCs w:val="17"/>
          <w:color w:val="auto"/>
        </w:rPr>
        <w:t>”),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17"/>
          <w:szCs w:val="17"/>
          <w:b w:val="1"/>
          <w:bCs w:val="1"/>
          <w:color w:val="auto"/>
        </w:rPr>
        <w:t>Change of Control Notice</w:t>
      </w:r>
      <w:r>
        <w:rPr>
          <w:rFonts w:ascii="Times New Roman" w:cs="Times New Roman" w:eastAsia="Times New Roman" w:hAnsi="Times New Roman"/>
          <w:sz w:val="17"/>
          <w:szCs w:val="17"/>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7"/>
          <w:szCs w:val="17"/>
          <w:b w:val="1"/>
          <w:bCs w:val="1"/>
          <w:color w:val="auto"/>
        </w:rPr>
        <w:t>Change of Control Redemption Notice</w:t>
      </w:r>
      <w:r>
        <w:rPr>
          <w:rFonts w:ascii="Times New Roman" w:cs="Times New Roman" w:eastAsia="Times New Roman" w:hAnsi="Times New Roman"/>
          <w:sz w:val="17"/>
          <w:szCs w:val="17"/>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w:t>
      </w:r>
    </w:p>
    <w:p>
      <w:pPr>
        <w:ind w:left="4" w:right="20" w:hanging="4"/>
        <w:spacing w:after="0" w:line="250" w:lineRule="auto"/>
        <w:tabs>
          <w:tab w:leader="none" w:pos="2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Redemptions required by this Section 5 shall be made in accordance with the provisions of Section 13 and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5(b) (together with any Late Charges thereon) may be converted, in whole or in part, by the Holder into</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93" w:name="page94"/>
    <w:bookmarkEnd w:id="93"/>
    <w:p>
      <w:pPr>
        <w:ind w:left="4"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183" w:lineRule="exact"/>
        <w:rPr>
          <w:sz w:val="20"/>
          <w:szCs w:val="20"/>
          <w:color w:val="auto"/>
        </w:rPr>
      </w:pPr>
    </w:p>
    <w:p>
      <w:pPr>
        <w:ind w:left="184" w:hanging="184"/>
        <w:spacing w:after="0"/>
        <w:tabs>
          <w:tab w:leader="none" w:pos="1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7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8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w:t>
      </w:r>
    </w:p>
    <w:p>
      <w:pPr>
        <w:spacing w:after="0" w:line="27" w:lineRule="exact"/>
        <w:rPr>
          <w:rFonts w:ascii="Times New Roman" w:cs="Times New Roman" w:eastAsia="Times New Roman" w:hAnsi="Times New Roman"/>
          <w:sz w:val="18"/>
          <w:szCs w:val="18"/>
          <w:color w:val="auto"/>
        </w:rPr>
      </w:pPr>
    </w:p>
    <w:p>
      <w:pPr>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94" w:name="page95"/>
    <w:bookmarkEnd w:id="94"/>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188" w:lineRule="exact"/>
        <w:rPr>
          <w:sz w:val="20"/>
          <w:szCs w:val="20"/>
          <w:color w:val="auto"/>
        </w:rPr>
      </w:pPr>
    </w:p>
    <w:p>
      <w:pPr>
        <w:ind w:left="184" w:hanging="184"/>
        <w:spacing w:after="0"/>
        <w:tabs>
          <w:tab w:leader="none" w:pos="1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20" w:firstLine="419"/>
        <w:spacing w:after="0" w:line="254" w:lineRule="auto"/>
        <w:tabs>
          <w:tab w:leader="none" w:pos="67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Stock</w:t>
      </w:r>
      <w:r>
        <w:rPr>
          <w:rFonts w:ascii="Times New Roman" w:cs="Times New Roman" w:eastAsia="Times New Roman" w:hAnsi="Times New Roman"/>
          <w:sz w:val="18"/>
          <w:szCs w:val="18"/>
          <w:color w:val="auto"/>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equal to the Conversion Price in effect immediately prior to such granting, issuance or sale or deemed granting, issuance or sale (such Conversion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7(a)), the following shall be applicable:</w:t>
      </w:r>
    </w:p>
    <w:p>
      <w:pPr>
        <w:spacing w:after="0" w:line="80" w:lineRule="exact"/>
        <w:rPr>
          <w:rFonts w:ascii="Times New Roman" w:cs="Times New Roman" w:eastAsia="Times New Roman" w:hAnsi="Times New Roman"/>
          <w:sz w:val="18"/>
          <w:szCs w:val="18"/>
          <w:color w:val="auto"/>
        </w:rPr>
      </w:pPr>
    </w:p>
    <w:p>
      <w:pPr>
        <w:ind w:left="544" w:firstLine="408"/>
        <w:spacing w:after="0" w:line="253" w:lineRule="auto"/>
        <w:tabs>
          <w:tab w:leader="none" w:pos="1159"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95" w:name="page96"/>
    <w:bookmarkEnd w:id="9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82" w:lineRule="exact"/>
        <w:rPr>
          <w:sz w:val="20"/>
          <w:szCs w:val="20"/>
          <w:color w:val="auto"/>
        </w:rPr>
      </w:pPr>
    </w:p>
    <w:p>
      <w:pPr>
        <w:ind w:right="40" w:firstLine="408"/>
        <w:spacing w:after="0" w:line="252" w:lineRule="auto"/>
        <w:tabs>
          <w:tab w:leader="none" w:pos="6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w:t>
      </w:r>
    </w:p>
    <w:p>
      <w:pPr>
        <w:spacing w:after="0" w:line="1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20"/>
          </w:cols>
          <w:pgMar w:left="1420" w:top="270" w:right="459" w:bottom="1440" w:gutter="0" w:footer="0" w:header="0"/>
        </w:sectPr>
      </w:pPr>
    </w:p>
    <w:bookmarkStart w:id="96" w:name="page97"/>
    <w:bookmarkEnd w:id="9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spacing w:after="0" w:line="72" w:lineRule="exact"/>
        <w:rPr>
          <w:sz w:val="20"/>
          <w:szCs w:val="20"/>
          <w:color w:val="auto"/>
        </w:rPr>
      </w:pPr>
    </w:p>
    <w:p>
      <w:pPr>
        <w:ind w:right="80" w:firstLine="408"/>
        <w:spacing w:after="0" w:line="253" w:lineRule="auto"/>
        <w:tabs>
          <w:tab w:leader="none" w:pos="7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81" w:lineRule="exact"/>
        <w:rPr>
          <w:rFonts w:ascii="Times New Roman" w:cs="Times New Roman" w:eastAsia="Times New Roman" w:hAnsi="Times New Roman"/>
          <w:sz w:val="18"/>
          <w:szCs w:val="18"/>
          <w:color w:val="auto"/>
        </w:rPr>
      </w:pPr>
    </w:p>
    <w:p>
      <w:pPr>
        <w:ind w:firstLine="408"/>
        <w:spacing w:after="0" w:line="253" w:lineRule="auto"/>
        <w:tabs>
          <w:tab w:leader="none" w:pos="7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40"/>
          </w:cols>
          <w:pgMar w:left="1420" w:top="270" w:right="439" w:bottom="1440" w:gutter="0" w:footer="0" w:header="0"/>
        </w:sectPr>
      </w:pPr>
    </w:p>
    <w:bookmarkStart w:id="97" w:name="page98"/>
    <w:bookmarkEnd w:id="97"/>
    <w:p>
      <w:pPr>
        <w:ind w:left="540" w:right="2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 fair value of such consideration will be determined within five (5) Trading Days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87" w:lineRule="exact"/>
        <w:rPr>
          <w:sz w:val="20"/>
          <w:szCs w:val="20"/>
          <w:color w:val="auto"/>
        </w:rPr>
      </w:pPr>
    </w:p>
    <w:p>
      <w:pPr>
        <w:ind w:left="540" w:right="20" w:firstLine="408"/>
        <w:spacing w:after="0" w:line="258" w:lineRule="auto"/>
        <w:tabs>
          <w:tab w:leader="none" w:pos="119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80" w:top="270" w:right="479" w:bottom="1440" w:gutter="0" w:footer="0" w:header="0"/>
        </w:sectPr>
      </w:pPr>
    </w:p>
    <w:bookmarkStart w:id="98" w:name="page99"/>
    <w:bookmarkEnd w:id="98"/>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79" w:lineRule="exact"/>
        <w:rPr>
          <w:sz w:val="20"/>
          <w:szCs w:val="20"/>
          <w:color w:val="auto"/>
        </w:rPr>
      </w:pPr>
    </w:p>
    <w:p>
      <w:pPr>
        <w:ind w:firstLine="419"/>
        <w:spacing w:after="0" w:line="253" w:lineRule="auto"/>
        <w:tabs>
          <w:tab w:leader="none" w:pos="6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Right of Adjusted Conversion Price</w:t>
      </w:r>
      <w:r>
        <w:rPr>
          <w:rFonts w:ascii="Times New Roman" w:cs="Times New Roman" w:eastAsia="Times New Roman" w:hAnsi="Times New Roman"/>
          <w:sz w:val="18"/>
          <w:szCs w:val="18"/>
          <w:color w:val="auto"/>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 w:cs="Times New Roman" w:eastAsia="Times New Roman" w:hAnsi="Times New Roman"/>
          <w:sz w:val="18"/>
          <w:szCs w:val="18"/>
          <w:b w:val="1"/>
          <w:bCs w:val="1"/>
          <w:color w:val="auto"/>
        </w:rPr>
        <w:t>Variable Price Securities</w:t>
      </w:r>
      <w:r>
        <w:rPr>
          <w:rFonts w:ascii="Times New Roman" w:cs="Times New Roman" w:eastAsia="Times New Roman" w:hAnsi="Times New Roman"/>
          <w:sz w:val="18"/>
          <w:szCs w:val="18"/>
          <w:color w:val="auto"/>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cs="Times New Roman" w:eastAsia="Times New Roman" w:hAnsi="Times New Roman"/>
          <w:sz w:val="18"/>
          <w:szCs w:val="18"/>
          <w:b w:val="1"/>
          <w:bCs w:val="1"/>
          <w:color w:val="auto"/>
        </w:rPr>
        <w:t>Variable Price</w:t>
      </w:r>
      <w:r>
        <w:rPr>
          <w:rFonts w:ascii="Times New Roman" w:cs="Times New Roman" w:eastAsia="Times New Roman" w:hAnsi="Times New Roman"/>
          <w:sz w:val="18"/>
          <w:szCs w:val="18"/>
          <w:color w:val="auto"/>
        </w:rPr>
        <w:t>”), the Company shall provide written notice thereof via electronic mail and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79" w:lineRule="exact"/>
        <w:rPr>
          <w:rFonts w:ascii="Times New Roman" w:cs="Times New Roman" w:eastAsia="Times New Roman" w:hAnsi="Times New Roman"/>
          <w:sz w:val="18"/>
          <w:szCs w:val="18"/>
          <w:color w:val="auto"/>
        </w:rPr>
      </w:pPr>
    </w:p>
    <w:p>
      <w:pPr>
        <w:ind w:right="80" w:firstLine="419"/>
        <w:spacing w:after="0" w:line="224" w:lineRule="auto"/>
        <w:tabs>
          <w:tab w:leader="none" w:pos="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Adjustments</w:t>
      </w:r>
      <w:r>
        <w:rPr>
          <w:rFonts w:ascii="Times New Roman" w:cs="Times New Roman" w:eastAsia="Times New Roman" w:hAnsi="Times New Roman"/>
          <w:sz w:val="18"/>
          <w:szCs w:val="18"/>
          <w:color w:val="auto"/>
        </w:rPr>
        <w:t>. If at any time and from time to time on or after the Subscription Date there occurs any stock split, stock dividend, stock combination recapitalization or other similar transaction involving the Common Stock (each, a “</w:t>
      </w:r>
      <w:r>
        <w:rPr>
          <w:rFonts w:ascii="Times New Roman" w:cs="Times New Roman" w:eastAsia="Times New Roman" w:hAnsi="Times New Roman"/>
          <w:sz w:val="18"/>
          <w:szCs w:val="18"/>
          <w:b w:val="1"/>
          <w:bCs w:val="1"/>
          <w:color w:val="auto"/>
        </w:rPr>
        <w:t>Stock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Conversion Price then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effect to the adjustment in Section 7(b) above), then on the sixteenth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such Stock Combination Event Date, the Conversion Price then in effect on such sixteenth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80" w:top="270" w:right="439" w:bottom="1440" w:gutter="0" w:footer="0" w:header="0"/>
        </w:sectPr>
      </w:pPr>
    </w:p>
    <w:bookmarkStart w:id="99" w:name="page100"/>
    <w:bookmarkEnd w:id="99"/>
    <w:p>
      <w:pPr>
        <w:ind w:left="4" w:firstLine="419"/>
        <w:spacing w:after="0" w:line="254" w:lineRule="auto"/>
        <w:tabs>
          <w:tab w:leader="none" w:pos="67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r>
        <w:rPr>
          <w:rFonts w:ascii="Times New Roman" w:cs="Times New Roman" w:eastAsia="Times New Roman" w:hAnsi="Times New Roman"/>
          <w:sz w:val="18"/>
          <w:szCs w:val="18"/>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80" w:lineRule="exact"/>
        <w:rPr>
          <w:rFonts w:ascii="Times New Roman" w:cs="Times New Roman" w:eastAsia="Times New Roman" w:hAnsi="Times New Roman"/>
          <w:sz w:val="18"/>
          <w:szCs w:val="18"/>
          <w:color w:val="auto"/>
        </w:rPr>
      </w:pPr>
    </w:p>
    <w:p>
      <w:pPr>
        <w:ind w:left="4" w:right="100" w:firstLine="419"/>
        <w:spacing w:after="0" w:line="224" w:lineRule="auto"/>
        <w:tabs>
          <w:tab w:leader="none" w:pos="6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90" w:lineRule="exact"/>
        <w:rPr>
          <w:rFonts w:ascii="Times New Roman" w:cs="Times New Roman" w:eastAsia="Times New Roman" w:hAnsi="Times New Roman"/>
          <w:sz w:val="18"/>
          <w:szCs w:val="18"/>
          <w:color w:val="auto"/>
        </w:rPr>
      </w:pPr>
    </w:p>
    <w:p>
      <w:pPr>
        <w:jc w:val="both"/>
        <w:ind w:left="4" w:right="220" w:firstLine="419"/>
        <w:spacing w:after="0" w:line="261" w:lineRule="auto"/>
        <w:tabs>
          <w:tab w:leader="none" w:pos="68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PLACEMENT OPTIONAL REDEMPTION</w:t>
      </w:r>
    </w:p>
    <w:p>
      <w:pPr>
        <w:spacing w:after="0" w:line="11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(the “</w:t>
      </w:r>
      <w:r>
        <w:rPr>
          <w:rFonts w:ascii="Times New Roman" w:cs="Times New Roman" w:eastAsia="Times New Roman" w:hAnsi="Times New Roman"/>
          <w:sz w:val="18"/>
          <w:szCs w:val="18"/>
          <w:b w:val="1"/>
          <w:bCs w:val="1"/>
          <w:color w:val="auto"/>
        </w:rPr>
        <w:t>Holder Subsequent Placement Notice Date</w:t>
      </w:r>
      <w:r>
        <w:rPr>
          <w:rFonts w:ascii="Times New Roman" w:cs="Times New Roman" w:eastAsia="Times New Roman" w:hAnsi="Times New Roman"/>
          <w:sz w:val="18"/>
          <w:szCs w:val="18"/>
          <w:color w:val="auto"/>
        </w:rPr>
        <w:t>”) becomes aware of the occurrence of a Subsequent Placement (as defined in the Securities Purchase Agreement) (in each case, other than with respect to Excluded Securities (as defined in the Securities Purchase Agreement)) (each, an “</w:t>
      </w:r>
      <w:r>
        <w:rPr>
          <w:rFonts w:ascii="Times New Roman" w:cs="Times New Roman" w:eastAsia="Times New Roman" w:hAnsi="Times New Roman"/>
          <w:sz w:val="18"/>
          <w:szCs w:val="18"/>
          <w:b w:val="1"/>
          <w:bCs w:val="1"/>
          <w:color w:val="auto"/>
        </w:rPr>
        <w:t>Eligible Subsequent Placement</w:t>
      </w:r>
      <w:r>
        <w:rPr>
          <w:rFonts w:ascii="Times New Roman" w:cs="Times New Roman" w:eastAsia="Times New Roman" w:hAnsi="Times New Roman"/>
          <w:sz w:val="18"/>
          <w:szCs w:val="18"/>
          <w:color w:val="auto"/>
        </w:rPr>
        <w:t>”), and (y) the time of consummation of such Eligible Subsequent Placement, the Holder shall have the right, in its sole discretion, to require that the Company redeem (each, a “</w:t>
      </w:r>
      <w:r>
        <w:rPr>
          <w:rFonts w:ascii="Times New Roman" w:cs="Times New Roman" w:eastAsia="Times New Roman" w:hAnsi="Times New Roman"/>
          <w:sz w:val="18"/>
          <w:szCs w:val="18"/>
          <w:b w:val="1"/>
          <w:bCs w:val="1"/>
          <w:color w:val="auto"/>
        </w:rPr>
        <w:t>Subsequent Placement Optional Redemption</w:t>
      </w:r>
      <w:r>
        <w:rPr>
          <w:rFonts w:ascii="Times New Roman" w:cs="Times New Roman" w:eastAsia="Times New Roman" w:hAnsi="Times New Roman"/>
          <w:sz w:val="18"/>
          <w:szCs w:val="18"/>
          <w:color w:val="auto"/>
        </w:rPr>
        <w:t>”) all, or any portion, of the Outstanding Amount under this Note not in excess of (together with any Subsequent Placement Optional Redemption Amount (as defined in the applicable other Note of the Holder) of any other Notes of the Holder) the Holder’s Holder Pro Rata Amount of 25% of the net proceeds of such Eligible Subsequent Placement (the “</w:t>
      </w:r>
      <w:r>
        <w:rPr>
          <w:rFonts w:ascii="Times New Roman" w:cs="Times New Roman" w:eastAsia="Times New Roman" w:hAnsi="Times New Roman"/>
          <w:sz w:val="18"/>
          <w:szCs w:val="18"/>
          <w:b w:val="1"/>
          <w:bCs w:val="1"/>
          <w:color w:val="auto"/>
        </w:rPr>
        <w:t>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Subsequent Placement Optional Redemption Amount</w:t>
      </w:r>
      <w:r>
        <w:rPr>
          <w:rFonts w:ascii="Times New Roman" w:cs="Times New Roman" w:eastAsia="Times New Roman" w:hAnsi="Times New Roman"/>
          <w:sz w:val="18"/>
          <w:szCs w:val="18"/>
          <w:color w:val="auto"/>
        </w:rPr>
        <w:t>”) by delivering written notice thereof (an “</w:t>
      </w:r>
      <w:r>
        <w:rPr>
          <w:rFonts w:ascii="Times New Roman" w:cs="Times New Roman" w:eastAsia="Times New Roman" w:hAnsi="Times New Roman"/>
          <w:sz w:val="18"/>
          <w:szCs w:val="18"/>
          <w:b w:val="1"/>
          <w:bCs w:val="1"/>
          <w:color w:val="auto"/>
        </w:rPr>
        <w:t>Subsequent Placement Optional Redemption Notice</w:t>
      </w:r>
      <w:r>
        <w:rPr>
          <w:rFonts w:ascii="Times New Roman" w:cs="Times New Roman" w:eastAsia="Times New Roman" w:hAnsi="Times New Roman"/>
          <w:sz w:val="18"/>
          <w:szCs w:val="18"/>
          <w:color w:val="auto"/>
        </w:rPr>
        <w:t>”) to the Company. The Company shall notify the Holder in writing no later than five (5) Trading Days after the 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Eligible Subsequent Placement, which notice shall include (i) the sale price of each Eligible Subsequent Placement, (ii) the date of each Eligible Subsequent Placement and (iii) the aggregate gross proceeds of each Eligible Subsequent Placement.</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70" w:right="459" w:bottom="1440" w:gutter="0" w:footer="0" w:header="0"/>
        </w:sectPr>
      </w:pPr>
    </w:p>
    <w:bookmarkStart w:id="100" w:name="page101"/>
    <w:bookmarkEnd w:id="100"/>
    <w:p>
      <w:pPr>
        <w:ind w:left="4" w:firstLine="419"/>
        <w:spacing w:after="0" w:line="253" w:lineRule="auto"/>
        <w:tabs>
          <w:tab w:leader="none" w:pos="68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w:t>
      </w:r>
      <w:r>
        <w:rPr>
          <w:rFonts w:ascii="Times New Roman" w:cs="Times New Roman" w:eastAsia="Times New Roman" w:hAnsi="Times New Roman"/>
          <w:sz w:val="18"/>
          <w:szCs w:val="18"/>
          <w:color w:val="auto"/>
        </w:rPr>
        <w:t>. Each Subsequent Placement Optional Redemption Notice shall indicate that all, or such applicable portion, as set forth in the applicable Subsequent Placement Optional Redemption Notice, of the Outstanding Amount of this Note (with a Subsequent Placement Optional Redemption Price not in excess of such applicable Eligible Subsequent Placement Optional Redemption Amount) the Holder is electing to have redeemed (the “</w:t>
      </w:r>
      <w:r>
        <w:rPr>
          <w:rFonts w:ascii="Times New Roman" w:cs="Times New Roman" w:eastAsia="Times New Roman" w:hAnsi="Times New Roman"/>
          <w:sz w:val="18"/>
          <w:szCs w:val="18"/>
          <w:b w:val="1"/>
          <w:bCs w:val="1"/>
          <w:color w:val="auto"/>
        </w:rPr>
        <w:t>Subsequent Placement Optional Redemption Amount</w:t>
      </w:r>
      <w:r>
        <w:rPr>
          <w:rFonts w:ascii="Times New Roman" w:cs="Times New Roman" w:eastAsia="Times New Roman" w:hAnsi="Times New Roman"/>
          <w:sz w:val="18"/>
          <w:szCs w:val="18"/>
          <w:color w:val="auto"/>
        </w:rPr>
        <w:t>”) and the date of such Subsequent Placement Optional Redemption (the “</w:t>
      </w:r>
      <w:r>
        <w:rPr>
          <w:rFonts w:ascii="Times New Roman" w:cs="Times New Roman" w:eastAsia="Times New Roman" w:hAnsi="Times New Roman"/>
          <w:sz w:val="18"/>
          <w:szCs w:val="18"/>
          <w:b w:val="1"/>
          <w:bCs w:val="1"/>
          <w:color w:val="auto"/>
        </w:rPr>
        <w:t>Subsequent Placement Optional Redemption Date</w:t>
      </w:r>
      <w:r>
        <w:rPr>
          <w:rFonts w:ascii="Times New Roman" w:cs="Times New Roman" w:eastAsia="Times New Roman" w:hAnsi="Times New Roman"/>
          <w:sz w:val="18"/>
          <w:szCs w:val="18"/>
          <w:color w:val="auto"/>
        </w:rPr>
        <w:t>”), which shall be the later of (x) the fifth (5th) Business Day after the date of the applicable Subsequent Placement Optional Redemption Notice and (y) the date of the consummation of such Eligible Subsequent Placement. The portion of the Outstanding Amount of this Note subject to redemption pursuant to this Section 8 shall be redeemed by the Company in cash at a price equal to 100% of the Subsequent Placement Optional Redemption Amount being redeemed as of the Subsequent Placement Optional Redemption Date (the “</w:t>
      </w:r>
      <w:r>
        <w:rPr>
          <w:rFonts w:ascii="Times New Roman" w:cs="Times New Roman" w:eastAsia="Times New Roman" w:hAnsi="Times New Roman"/>
          <w:sz w:val="18"/>
          <w:szCs w:val="18"/>
          <w:b w:val="1"/>
          <w:bCs w:val="1"/>
          <w:color w:val="auto"/>
        </w:rPr>
        <w:t>Subsequent Placement Optional Redemption Price</w:t>
      </w:r>
      <w:r>
        <w:rPr>
          <w:rFonts w:ascii="Times New Roman" w:cs="Times New Roman" w:eastAsia="Times New Roman" w:hAnsi="Times New Roman"/>
          <w:sz w:val="18"/>
          <w:szCs w:val="18"/>
          <w:color w:val="auto"/>
        </w:rPr>
        <w:t>”). Redemptions required by this Section 8 shall be made in accordance with the provisions of Section 13.</w:t>
      </w:r>
    </w:p>
    <w:p>
      <w:pPr>
        <w:spacing w:after="0" w:line="19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 OPTIONAL REDEMPTION</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7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becomes aware of the occurrence of an Asset Sale (as defined below)(including any insurance and condemnation proceeds thereof) (each, a “</w:t>
      </w:r>
      <w:r>
        <w:rPr>
          <w:rFonts w:ascii="Times New Roman" w:cs="Times New Roman" w:eastAsia="Times New Roman" w:hAnsi="Times New Roman"/>
          <w:sz w:val="18"/>
          <w:szCs w:val="18"/>
          <w:b w:val="1"/>
          <w:bCs w:val="1"/>
          <w:color w:val="auto"/>
        </w:rPr>
        <w:t>Holder Asset Sale Notice Date</w:t>
      </w:r>
      <w:r>
        <w:rPr>
          <w:rFonts w:ascii="Times New Roman" w:cs="Times New Roman" w:eastAsia="Times New Roman" w:hAnsi="Times New Roman"/>
          <w:sz w:val="18"/>
          <w:szCs w:val="18"/>
          <w:color w:val="auto"/>
        </w:rPr>
        <w:t>”) and (y) the time of consummation of an Asset Sale (other than sales of inventory and product in the ordinary course of business) (each, an “</w:t>
      </w:r>
      <w:r>
        <w:rPr>
          <w:rFonts w:ascii="Times New Roman" w:cs="Times New Roman" w:eastAsia="Times New Roman" w:hAnsi="Times New Roman"/>
          <w:sz w:val="18"/>
          <w:szCs w:val="18"/>
          <w:b w:val="1"/>
          <w:bCs w:val="1"/>
          <w:color w:val="auto"/>
        </w:rPr>
        <w:t>Eligible Asset Sale</w:t>
      </w:r>
      <w:r>
        <w:rPr>
          <w:rFonts w:ascii="Times New Roman" w:cs="Times New Roman" w:eastAsia="Times New Roman" w:hAnsi="Times New Roman"/>
          <w:sz w:val="18"/>
          <w:szCs w:val="18"/>
          <w:color w:val="auto"/>
        </w:rPr>
        <w:t>”), the Holder shall have the right, in its sole discretion, to require that the Company redeem (each an “</w:t>
      </w:r>
      <w:r>
        <w:rPr>
          <w:rFonts w:ascii="Times New Roman" w:cs="Times New Roman" w:eastAsia="Times New Roman" w:hAnsi="Times New Roman"/>
          <w:sz w:val="18"/>
          <w:szCs w:val="18"/>
          <w:b w:val="1"/>
          <w:bCs w:val="1"/>
          <w:color w:val="auto"/>
        </w:rPr>
        <w:t>Asset Sale Optional Redemption</w:t>
      </w:r>
      <w:r>
        <w:rPr>
          <w:rFonts w:ascii="Times New Roman" w:cs="Times New Roman" w:eastAsia="Times New Roman" w:hAnsi="Times New Roman"/>
          <w:sz w:val="18"/>
          <w:szCs w:val="18"/>
          <w:color w:val="auto"/>
        </w:rPr>
        <w:t>”) all, or any portion, of the Outstanding Amount under this Note not in excess of (together with any Asset Sale Optional Redemption Amount (as defined in the applicable other Note of the Holder) of any other Notes of the Holder) the Holder’s Holder Pro Rata Amount of 100% of the net proceeds (including any insurance and condemnation proceeds with respect thereto) of such Eligible Asset Sale (each, an “</w:t>
      </w:r>
      <w:r>
        <w:rPr>
          <w:rFonts w:ascii="Times New Roman" w:cs="Times New Roman" w:eastAsia="Times New Roman" w:hAnsi="Times New Roman"/>
          <w:sz w:val="18"/>
          <w:szCs w:val="18"/>
          <w:b w:val="1"/>
          <w:bCs w:val="1"/>
          <w:color w:val="auto"/>
        </w:rPr>
        <w:t>Eligible Asset Sale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Amount</w:t>
      </w:r>
      <w:r>
        <w:rPr>
          <w:rFonts w:ascii="Times New Roman" w:cs="Times New Roman" w:eastAsia="Times New Roman" w:hAnsi="Times New Roman"/>
          <w:sz w:val="18"/>
          <w:szCs w:val="18"/>
          <w:color w:val="auto"/>
        </w:rPr>
        <w:t>”) by delivering written notice thereof (each, an “</w:t>
      </w:r>
      <w:r>
        <w:rPr>
          <w:rFonts w:ascii="Times New Roman" w:cs="Times New Roman" w:eastAsia="Times New Roman" w:hAnsi="Times New Roman"/>
          <w:sz w:val="18"/>
          <w:szCs w:val="18"/>
          <w:b w:val="1"/>
          <w:bCs w:val="1"/>
          <w:color w:val="auto"/>
        </w:rPr>
        <w:t>Asset Sale Optional Redemption Notice</w:t>
      </w:r>
      <w:r>
        <w:rPr>
          <w:rFonts w:ascii="Times New Roman" w:cs="Times New Roman" w:eastAsia="Times New Roman" w:hAnsi="Times New Roman"/>
          <w:sz w:val="18"/>
          <w:szCs w:val="18"/>
          <w:color w:val="auto"/>
        </w:rPr>
        <w:t>”, and each date thereof,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 Redemption Notice Date</w:t>
      </w:r>
      <w:r>
        <w:rPr>
          <w:rFonts w:ascii="Times New Roman" w:cs="Times New Roman" w:eastAsia="Times New Roman" w:hAnsi="Times New Roman"/>
          <w:sz w:val="18"/>
          <w:szCs w:val="18"/>
          <w:color w:val="auto"/>
        </w:rPr>
        <w:t>”) to the Company.</w:t>
      </w:r>
    </w:p>
    <w:p>
      <w:pPr>
        <w:spacing w:after="0" w:line="80"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8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Asset Sale Optional Redemption Notice shall indicate that all, or such applicable portion, as set forth in the applicable Asset Sale Optional Redemption Notice, of the Outstanding Amount of this Note (with an Asset Sale Optional Redemption Price not in excess of such applicable Eligible Asset Sale Optional Redemption Amount) the Holder is electing to have redeemed (each, an “</w:t>
      </w:r>
      <w:r>
        <w:rPr>
          <w:rFonts w:ascii="Times New Roman" w:cs="Times New Roman" w:eastAsia="Times New Roman" w:hAnsi="Times New Roman"/>
          <w:sz w:val="18"/>
          <w:szCs w:val="18"/>
          <w:b w:val="1"/>
          <w:bCs w:val="1"/>
          <w:color w:val="auto"/>
        </w:rPr>
        <w:t>Asset Sale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Amount</w:t>
      </w:r>
      <w:r>
        <w:rPr>
          <w:rFonts w:ascii="Times New Roman" w:cs="Times New Roman" w:eastAsia="Times New Roman" w:hAnsi="Times New Roman"/>
          <w:sz w:val="18"/>
          <w:szCs w:val="18"/>
          <w:color w:val="auto"/>
        </w:rPr>
        <w:t>”) and the date of such Asset Sale Optional Redemption (each, an “</w:t>
      </w:r>
      <w:r>
        <w:rPr>
          <w:rFonts w:ascii="Times New Roman" w:cs="Times New Roman" w:eastAsia="Times New Roman" w:hAnsi="Times New Roman"/>
          <w:sz w:val="18"/>
          <w:szCs w:val="18"/>
          <w:b w:val="1"/>
          <w:bCs w:val="1"/>
          <w:color w:val="auto"/>
        </w:rPr>
        <w:t>Asset Sale Optional Redemption Date</w:t>
      </w:r>
      <w:r>
        <w:rPr>
          <w:rFonts w:ascii="Times New Roman" w:cs="Times New Roman" w:eastAsia="Times New Roman" w:hAnsi="Times New Roman"/>
          <w:sz w:val="18"/>
          <w:szCs w:val="18"/>
          <w:color w:val="auto"/>
        </w:rPr>
        <w:t>”),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later of (x) the fifth (5th) Business Day after the date of the applicable Asset Sale Optional Redemption Notice and (y) the date of the consummation of such Eligible Asset Sale. The portion of the Outstanding Amount of this Note subject to redemption pursuant to this Section 9 shall be redeemed by the Company in cash at a price equal to the greater of (i) the Asset Sale Optional Redemption Amount being redeemed as of the Asset Sale Optional Redemption Date and (ii) the product of (1) the quotient of (A) the Asset Sale Optional Redemption</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4"/>
          </w:cols>
          <w:pgMar w:left="876" w:top="270" w:right="479" w:bottom="1440" w:gutter="0" w:footer="0" w:header="0"/>
        </w:sectPr>
      </w:pPr>
    </w:p>
    <w:bookmarkStart w:id="101" w:name="page102"/>
    <w:bookmarkEnd w:id="10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being redeemed divided by (b) the Alternate Conversion Price then in effect as of the Asset Sale Optional Redemption Date multiplied by</w:t>
      </w:r>
    </w:p>
    <w:p>
      <w:pPr>
        <w:spacing w:after="0" w:line="27" w:lineRule="exact"/>
        <w:rPr>
          <w:sz w:val="20"/>
          <w:szCs w:val="20"/>
          <w:color w:val="auto"/>
        </w:rPr>
      </w:pPr>
    </w:p>
    <w:p>
      <w:pPr>
        <w:ind w:left="4" w:right="200" w:hanging="4"/>
        <w:spacing w:after="0" w:line="253" w:lineRule="auto"/>
        <w:tabs>
          <w:tab w:leader="none" w:pos="2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Closing Sale Price of the Common Stock on any Trading Day during the period commencing on the date immediately preceding such Asset Sale Redemption Notice Date and ending on the Trading Day immediately prior to the date the Company makes the entire payment required to be made under this Section 9 (each, an “</w:t>
      </w:r>
      <w:r>
        <w:rPr>
          <w:rFonts w:ascii="Times New Roman" w:cs="Times New Roman" w:eastAsia="Times New Roman" w:hAnsi="Times New Roman"/>
          <w:sz w:val="18"/>
          <w:szCs w:val="18"/>
          <w:b w:val="1"/>
          <w:bCs w:val="1"/>
          <w:color w:val="auto"/>
        </w:rPr>
        <w:t>Asset Sale Optional Redemption Price</w:t>
      </w:r>
      <w:r>
        <w:rPr>
          <w:rFonts w:ascii="Times New Roman" w:cs="Times New Roman" w:eastAsia="Times New Roman" w:hAnsi="Times New Roman"/>
          <w:sz w:val="18"/>
          <w:szCs w:val="18"/>
          <w:color w:val="auto"/>
        </w:rPr>
        <w:t>”). Redemptions required by this Section 9 shall be made in accordance with the provisions of Section 13.</w:t>
      </w:r>
    </w:p>
    <w:p>
      <w:pPr>
        <w:spacing w:after="0" w:line="189" w:lineRule="exact"/>
        <w:rPr>
          <w:sz w:val="20"/>
          <w:szCs w:val="20"/>
          <w:color w:val="auto"/>
        </w:rPr>
      </w:pPr>
    </w:p>
    <w:p>
      <w:pPr>
        <w:ind w:left="264" w:hanging="264"/>
        <w:spacing w:after="0"/>
        <w:tabs>
          <w:tab w:leader="none" w:pos="26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 AT THE COMPANY’S ELECTION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7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Optional Redemption</w:t>
      </w:r>
      <w:r>
        <w:rPr>
          <w:rFonts w:ascii="Times New Roman" w:cs="Times New Roman" w:eastAsia="Times New Roman" w:hAnsi="Times New Roman"/>
          <w:sz w:val="18"/>
          <w:szCs w:val="18"/>
          <w:color w:val="auto"/>
        </w:rPr>
        <w:t>. At any time after Shoe Sale Closing Time (as defined below), the Company shall have the right to redeem all, but not less than all, of the Conversion Amount then remaining under this Note (the “</w:t>
      </w:r>
      <w:r>
        <w:rPr>
          <w:rFonts w:ascii="Times New Roman" w:cs="Times New Roman" w:eastAsia="Times New Roman" w:hAnsi="Times New Roman"/>
          <w:sz w:val="18"/>
          <w:szCs w:val="18"/>
          <w:b w:val="1"/>
          <w:bCs w:val="1"/>
          <w:color w:val="auto"/>
        </w:rPr>
        <w:t>Company Optional Redemption Amount</w:t>
      </w:r>
      <w:r>
        <w:rPr>
          <w:rFonts w:ascii="Times New Roman" w:cs="Times New Roman" w:eastAsia="Times New Roman" w:hAnsi="Times New Roman"/>
          <w:sz w:val="18"/>
          <w:szCs w:val="18"/>
          <w:color w:val="auto"/>
        </w:rPr>
        <w:t>”) on the Company Optional Redemption Date (each as defined below) (a “</w:t>
      </w:r>
      <w:r>
        <w:rPr>
          <w:rFonts w:ascii="Times New Roman" w:cs="Times New Roman" w:eastAsia="Times New Roman" w:hAnsi="Times New Roman"/>
          <w:sz w:val="18"/>
          <w:szCs w:val="18"/>
          <w:b w:val="1"/>
          <w:bCs w:val="1"/>
          <w:color w:val="auto"/>
        </w:rPr>
        <w:t>Company Optional Redemption</w:t>
      </w:r>
      <w:r>
        <w:rPr>
          <w:rFonts w:ascii="Times New Roman" w:cs="Times New Roman" w:eastAsia="Times New Roman" w:hAnsi="Times New Roman"/>
          <w:sz w:val="18"/>
          <w:szCs w:val="18"/>
          <w:color w:val="auto"/>
        </w:rPr>
        <w:t>”). The portion of this Note subject to redemption pursuant to this Section 10(a) shall be redeemed by the Company in cash at a price (the “</w:t>
      </w:r>
      <w:r>
        <w:rPr>
          <w:rFonts w:ascii="Times New Roman" w:cs="Times New Roman" w:eastAsia="Times New Roman" w:hAnsi="Times New Roman"/>
          <w:sz w:val="18"/>
          <w:szCs w:val="18"/>
          <w:b w:val="1"/>
          <w:bCs w:val="1"/>
          <w:color w:val="auto"/>
        </w:rPr>
        <w:t>Company Optional Redemption Price</w:t>
      </w:r>
      <w:r>
        <w:rPr>
          <w:rFonts w:ascii="Times New Roman" w:cs="Times New Roman" w:eastAsia="Times New Roman" w:hAnsi="Times New Roman"/>
          <w:sz w:val="18"/>
          <w:szCs w:val="18"/>
          <w:color w:val="auto"/>
        </w:rPr>
        <w:t>”) equal to 120% of the greater of (i) the Conversion Amount being redeemed as of the Company Optional Redemption Date and (ii) the product of</w:t>
      </w:r>
    </w:p>
    <w:p>
      <w:pPr>
        <w:spacing w:after="0" w:line="3"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Conversion Rate (assuming an Alternate Conversion) with respect to the Conversion Amount being redeemed as of the Company Optional Redemption Date multiplied by (2) the greatest Closing Sale Price of the Common Stock on any Trading Day during the period commencing on the date immediately preceding such Company Optional Redemption Notice Date and ending on the Trading Day immediately prior to the date the Company makes the entire payment required to be made under this Section 10(a). The Company may exercise its right to require redemption under this Section 10(a) by delivering a written notice thereof by electronic mail and overnight courier to all, but not less than all, of the holders of Notes (the “</w:t>
      </w:r>
      <w:r>
        <w:rPr>
          <w:rFonts w:ascii="Times New Roman" w:cs="Times New Roman" w:eastAsia="Times New Roman" w:hAnsi="Times New Roman"/>
          <w:sz w:val="18"/>
          <w:szCs w:val="18"/>
          <w:b w:val="1"/>
          <w:bCs w:val="1"/>
          <w:color w:val="auto"/>
        </w:rPr>
        <w:t>Company Optional Redemption Notice</w:t>
      </w:r>
      <w:r>
        <w:rPr>
          <w:rFonts w:ascii="Times New Roman" w:cs="Times New Roman" w:eastAsia="Times New Roman" w:hAnsi="Times New Roman"/>
          <w:sz w:val="18"/>
          <w:szCs w:val="18"/>
          <w:color w:val="auto"/>
        </w:rPr>
        <w:t>” and the date all of the holders of Notes received such notice is referred to as the “</w:t>
      </w:r>
      <w:r>
        <w:rPr>
          <w:rFonts w:ascii="Times New Roman" w:cs="Times New Roman" w:eastAsia="Times New Roman" w:hAnsi="Times New Roman"/>
          <w:sz w:val="18"/>
          <w:szCs w:val="18"/>
          <w:b w:val="1"/>
          <w:bCs w:val="1"/>
          <w:color w:val="auto"/>
        </w:rPr>
        <w:t>Company Optional Redemption Notice Date</w:t>
      </w:r>
      <w:r>
        <w:rPr>
          <w:rFonts w:ascii="Times New Roman" w:cs="Times New Roman" w:eastAsia="Times New Roman" w:hAnsi="Times New Roman"/>
          <w:sz w:val="18"/>
          <w:szCs w:val="18"/>
          <w:color w:val="auto"/>
        </w:rPr>
        <w:t>”). The Company may deliver only one Company Optional Redemption Notice hereunder and such Company Optional Redemption Notice shall be irrevocable. The Company Optional Redemption Notice shall (x) state the date on which the Company Optional Redemption shall occur (the “</w:t>
      </w:r>
      <w:r>
        <w:rPr>
          <w:rFonts w:ascii="Times New Roman" w:cs="Times New Roman" w:eastAsia="Times New Roman" w:hAnsi="Times New Roman"/>
          <w:sz w:val="18"/>
          <w:szCs w:val="18"/>
          <w:b w:val="1"/>
          <w:bCs w:val="1"/>
          <w:color w:val="auto"/>
        </w:rPr>
        <w:t>Company Optional Redemption Date</w:t>
      </w:r>
      <w:r>
        <w:rPr>
          <w:rFonts w:ascii="Times New Roman" w:cs="Times New Roman" w:eastAsia="Times New Roman" w:hAnsi="Times New Roman"/>
          <w:sz w:val="18"/>
          <w:szCs w:val="18"/>
          <w:color w:val="auto"/>
        </w:rPr>
        <w:t>”) which date shall not be less than ninety (90) Trading Days nor more than one hundred (100) Trading Days following the Company Optional Redemption Notice Date, (y) certify that there has been no Equity Conditions Failure and (z) state the aggregate Conversion Amount of the Notes which is being redeemed in such Company Optional Redemption from the Holder and all of the other holders of the Notes pursuant to this Section 10(a) (and analogous provisions under the Other Notes) on the Company Optional Redemption Date. Notwithstanding anything herein to the contrary, (i) if no Equity Conditions Failure has occurred as of the Company Optional Redemption Notice Date but an Equity Conditions Failure occurs at any time prior to the Company Optional Redemption Date, (A) the Company shall provide the Holder a subsequent notice to that effect and (B) unless the Holder waives the Equity Conditions Failure, the Company Optional Redemption shall be cancelled and the applicable Company Optional Redemption Notice shall be null and void and (ii) at any time prior to the date the Company Optional Redemption Price is paid, in full, the Company</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102" w:name="page103"/>
    <w:bookmarkEnd w:id="102"/>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10(a) shall be made in accordance with Section 13. In the event of the Company’s redemption of any portion of this Note under this Section 10(a),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10(a)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w:t>
      </w:r>
    </w:p>
    <w:p>
      <w:pPr>
        <w:spacing w:after="0" w:line="86" w:lineRule="exact"/>
        <w:rPr>
          <w:sz w:val="20"/>
          <w:szCs w:val="20"/>
          <w:color w:val="auto"/>
        </w:rPr>
      </w:pPr>
    </w:p>
    <w:p>
      <w:pPr>
        <w:ind w:left="420" w:right="840" w:firstLine="419"/>
        <w:spacing w:after="0" w:line="282" w:lineRule="auto"/>
        <w:tabs>
          <w:tab w:leader="none" w:pos="10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Redemption Requirement</w:t>
      </w:r>
      <w:r>
        <w:rPr>
          <w:rFonts w:ascii="Times New Roman" w:cs="Times New Roman" w:eastAsia="Times New Roman" w:hAnsi="Times New Roman"/>
          <w:sz w:val="18"/>
          <w:szCs w:val="18"/>
          <w:color w:val="auto"/>
        </w:rPr>
        <w:t>. If the Company elects to cause a Company Optional Redemption of this Note pursuant to Section 10(a), then it must simultaneously take the same action with respect to all of the Other Notes.</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8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spacing w:after="0" w:line="189"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80" w:firstLine="419"/>
        <w:spacing w:after="0" w:line="261" w:lineRule="auto"/>
        <w:tabs>
          <w:tab w:leader="none" w:pos="1087"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w:t>
      </w:r>
      <w:r>
        <w:rPr>
          <w:rFonts w:ascii="Times New Roman" w:cs="Times New Roman" w:eastAsia="Times New Roman" w:hAnsi="Times New Roman"/>
          <w:sz w:val="18"/>
          <w:szCs w:val="18"/>
          <w:color w:val="auto"/>
        </w:rPr>
        <w:t>. So long as any Notes remain outstanding, the Company shall at all times reserve at least 100% of the number of shares of Common Stock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70" w:right="459" w:bottom="1440" w:gutter="0" w:footer="0" w:header="0"/>
        </w:sectPr>
      </w:pPr>
    </w:p>
    <w:bookmarkStart w:id="103" w:name="page104"/>
    <w:bookmarkEnd w:id="103"/>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(including, without limitation, each increase in the number of shares so reserved) shall be allocated pro rata among the holders of the Notes based on the original principal amount of the Notes held by each holder on the Applicable Closing Date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79" w:lineRule="exact"/>
        <w:rPr>
          <w:sz w:val="20"/>
          <w:szCs w:val="20"/>
          <w:color w:val="auto"/>
        </w:rPr>
      </w:pPr>
    </w:p>
    <w:p>
      <w:pPr>
        <w:ind w:firstLine="419"/>
        <w:spacing w:after="0" w:line="252" w:lineRule="auto"/>
        <w:tabs>
          <w:tab w:leader="none" w:pos="67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104" w:name="page105"/>
    <w:bookmarkEnd w:id="104"/>
    <w:p>
      <w:pPr>
        <w:ind w:left="264" w:hanging="264"/>
        <w:spacing w:after="0"/>
        <w:tabs>
          <w:tab w:leader="none" w:pos="2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7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Optional Redemption Price to the Holder in cash on the applicable Company Optional Redemption Date. The Company shall deliver the applicable Asset Sale Optional Redemption Price to the Holder in cash on the applicable Asset Sale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greater of (x) the Floor Price and (y) 75% of the lowest Closing Bid Price of the Common Stock during the period beginning on and including the date on which the applicable Redemption Notice is delivered to the Company and ending on and including the date on which the applicable Redemption Notice is voided and (C) greater of (x) the Floor Price and (y) 75%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w:t>
      </w:r>
    </w:p>
    <w:p>
      <w:pPr>
        <w:spacing w:after="0" w:line="13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4"/>
          </w:cols>
          <w:pgMar w:left="876" w:top="270" w:right="459" w:bottom="1440" w:gutter="0" w:footer="0" w:header="0"/>
        </w:sectPr>
      </w:pPr>
    </w:p>
    <w:bookmarkStart w:id="105" w:name="page106"/>
    <w:bookmarkEnd w:id="105"/>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68" w:lineRule="exact"/>
        <w:rPr>
          <w:sz w:val="20"/>
          <w:szCs w:val="20"/>
          <w:color w:val="auto"/>
        </w:rPr>
      </w:pPr>
    </w:p>
    <w:p>
      <w:pPr>
        <w:ind w:left="420" w:right="20" w:firstLine="419"/>
        <w:spacing w:after="0" w:line="253" w:lineRule="auto"/>
        <w:tabs>
          <w:tab w:leader="none" w:pos="109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facsimile or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91"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115" w:lineRule="exact"/>
        <w:rPr>
          <w:rFonts w:ascii="Times New Roman" w:cs="Times New Roman" w:eastAsia="Times New Roman" w:hAnsi="Times New Roman"/>
          <w:sz w:val="18"/>
          <w:szCs w:val="18"/>
          <w:color w:val="auto"/>
        </w:rPr>
      </w:pPr>
    </w:p>
    <w:p>
      <w:pPr>
        <w:ind w:left="420" w:right="40" w:firstLine="419"/>
        <w:spacing w:after="0" w:line="284" w:lineRule="auto"/>
        <w:tabs>
          <w:tab w:leader="none" w:pos="108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Notes and (b) shall be senior to all other Indebtedness of the Company and its Subsidiaries (other than Permitted Senior Indebtedness solely with respect to Permitted Senior Indebtedness Collateral).</w:t>
      </w:r>
    </w:p>
    <w:p>
      <w:pPr>
        <w:spacing w:after="0" w:line="52" w:lineRule="exact"/>
        <w:rPr>
          <w:rFonts w:ascii="Times New Roman" w:cs="Times New Roman" w:eastAsia="Times New Roman" w:hAnsi="Times New Roman"/>
          <w:sz w:val="18"/>
          <w:szCs w:val="18"/>
          <w:color w:val="auto"/>
        </w:rPr>
      </w:pPr>
    </w:p>
    <w:p>
      <w:pPr>
        <w:ind w:left="420" w:right="180" w:firstLine="419"/>
        <w:spacing w:after="0" w:line="266" w:lineRule="auto"/>
        <w:tabs>
          <w:tab w:leader="none" w:pos="109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spacing w:after="0" w:line="67" w:lineRule="exact"/>
        <w:rPr>
          <w:rFonts w:ascii="Times New Roman" w:cs="Times New Roman" w:eastAsia="Times New Roman" w:hAnsi="Times New Roman"/>
          <w:sz w:val="18"/>
          <w:szCs w:val="18"/>
          <w:color w:val="auto"/>
        </w:rPr>
      </w:pPr>
    </w:p>
    <w:p>
      <w:pPr>
        <w:ind w:left="420" w:right="20" w:firstLine="419"/>
        <w:spacing w:after="0" w:line="266" w:lineRule="auto"/>
        <w:tabs>
          <w:tab w:leader="none" w:pos="108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60" w:top="270" w:right="479" w:bottom="1440" w:gutter="0" w:footer="0" w:header="0"/>
        </w:sectPr>
      </w:pPr>
    </w:p>
    <w:bookmarkStart w:id="106" w:name="page107"/>
    <w:bookmarkEnd w:id="106"/>
    <w:p>
      <w:pPr>
        <w:ind w:left="4" w:right="20" w:firstLine="419"/>
        <w:spacing w:after="0" w:line="254" w:lineRule="auto"/>
        <w:tabs>
          <w:tab w:leader="none" w:pos="68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Payments and Investments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or the Permitted Senior Indebtedness)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83" w:lineRule="exact"/>
        <w:rPr>
          <w:rFonts w:ascii="Times New Roman" w:cs="Times New Roman" w:eastAsia="Times New Roman" w:hAnsi="Times New Roman"/>
          <w:sz w:val="18"/>
          <w:szCs w:val="18"/>
          <w:color w:val="auto"/>
        </w:rPr>
      </w:pPr>
    </w:p>
    <w:p>
      <w:pPr>
        <w:ind w:left="4" w:firstLine="419"/>
        <w:spacing w:after="0" w:line="266" w:lineRule="auto"/>
        <w:tabs>
          <w:tab w:leader="none" w:pos="6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 (other than as contemplated by the Shoe Business Sale).</w:t>
      </w:r>
    </w:p>
    <w:p>
      <w:pPr>
        <w:spacing w:after="0" w:line="67"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5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(ii) any of (x) the Shoe Business Sale, (y) the sale or disposition of inventory of the shoe business and</w:t>
      </w:r>
    </w:p>
    <w:p>
      <w:pPr>
        <w:spacing w:after="0" w:line="3" w:lineRule="exact"/>
        <w:rPr>
          <w:rFonts w:ascii="Times New Roman" w:cs="Times New Roman" w:eastAsia="Times New Roman" w:hAnsi="Times New Roman"/>
          <w:sz w:val="18"/>
          <w:szCs w:val="18"/>
          <w:color w:val="auto"/>
        </w:rPr>
      </w:pPr>
    </w:p>
    <w:p>
      <w:pPr>
        <w:ind w:left="4" w:right="600" w:hanging="4"/>
        <w:spacing w:after="0" w:line="260" w:lineRule="auto"/>
        <w:tabs>
          <w:tab w:leader="none" w:pos="2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related to the shoe business as specified on Schedule 15(f) and (iii) sales of inventory and product in the ordinary course of business (each, an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8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of Indebtedness</w:t>
      </w:r>
      <w:r>
        <w:rPr>
          <w:rFonts w:ascii="Times New Roman" w:cs="Times New Roman" w:eastAsia="Times New Roman" w:hAnsi="Times New Roman"/>
          <w:sz w:val="18"/>
          <w:szCs w:val="18"/>
          <w:color w:val="auto"/>
        </w:rPr>
        <w:t>. [INSERT IN INITIAL NOTES ONLY: Commencing immediately after the Shoe Sale Closing Time, the] [INSERT IN THE ADDITIONAL NOTES ONLY: The] Company shall not, and the Company shall cause each of its Subsidiaries to not, directly or indirectly, permit any Indebtedness of the Company or any of its Subsidiaries to mature or accelerate prior to the Maturity Date.</w:t>
      </w:r>
    </w:p>
    <w:p>
      <w:pPr>
        <w:spacing w:after="0" w:line="67"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8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[INSERT IN INITIAL NOTES ONLY: Commencing immediately after the Shoe Sale Closing Time, the] [INSERT IN THE ADDITIONAL NOTES ONLY: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107" w:name="page108"/>
    <w:bookmarkEnd w:id="107"/>
    <w:p>
      <w:pPr>
        <w:jc w:val="both"/>
        <w:ind w:right="80" w:firstLine="419"/>
        <w:spacing w:after="0" w:line="258" w:lineRule="auto"/>
        <w:tabs>
          <w:tab w:leader="none" w:pos="6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Preservation of Existence, Etc.</w:t>
      </w:r>
      <w:r>
        <w:rPr>
          <w:rFonts w:ascii="Times New Roman" w:cs="Times New Roman" w:eastAsia="Times New Roman" w:hAnsi="Times New Roman"/>
          <w:sz w:val="18"/>
          <w:szCs w:val="18"/>
          <w:color w:val="auto"/>
        </w:rPr>
        <w:t xml:space="preserve"> [INSERT IN INITIAL NOTES ONLY: Commencing immediately after the Shoe Sale Closing Time, the] [INSERT IN THE ADDITIONAL NOTES ONLY: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75" w:lineRule="exact"/>
        <w:rPr>
          <w:rFonts w:ascii="Times New Roman" w:cs="Times New Roman" w:eastAsia="Times New Roman" w:hAnsi="Times New Roman"/>
          <w:sz w:val="18"/>
          <w:szCs w:val="18"/>
          <w:color w:val="auto"/>
        </w:rPr>
      </w:pPr>
    </w:p>
    <w:p>
      <w:pPr>
        <w:ind w:right="140" w:firstLine="419"/>
        <w:spacing w:after="0" w:line="256" w:lineRule="auto"/>
        <w:tabs>
          <w:tab w:leader="none" w:pos="6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[INSERT IN INITIAL NOTES ONLY: Commencing immediately after the Shoe Sale Closing Time (or as of the Issuance Date with respect to assets purchased with the proceeds of the Initial Notes), the][INSERT IN THE ADDITIONAL NOTES ONLY: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79"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[INSERT IN INITIAL NOTES ONLY: Commencing immediately after the Shoe Sale Closing Time, the][INSERT IN THE ADDITIONAL NOTES ONLY: The]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spacing w:after="0" w:line="71" w:lineRule="exact"/>
        <w:rPr>
          <w:rFonts w:ascii="Times New Roman" w:cs="Times New Roman" w:eastAsia="Times New Roman" w:hAnsi="Times New Roman"/>
          <w:sz w:val="18"/>
          <w:szCs w:val="18"/>
          <w:color w:val="auto"/>
        </w:rPr>
      </w:pPr>
    </w:p>
    <w:p>
      <w:pPr>
        <w:ind w:right="180" w:firstLine="419"/>
        <w:spacing w:after="0" w:line="258" w:lineRule="auto"/>
        <w:tabs>
          <w:tab w:leader="none" w:pos="6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75" w:lineRule="exact"/>
        <w:rPr>
          <w:rFonts w:ascii="Times New Roman" w:cs="Times New Roman" w:eastAsia="Times New Roman" w:hAnsi="Times New Roman"/>
          <w:sz w:val="18"/>
          <w:szCs w:val="18"/>
          <w:color w:val="auto"/>
        </w:rPr>
      </w:pPr>
    </w:p>
    <w:p>
      <w:pPr>
        <w:ind w:right="40" w:firstLine="419"/>
        <w:spacing w:after="0" w:line="255" w:lineRule="auto"/>
        <w:tabs>
          <w:tab w:leader="none" w:pos="7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disclosed in the Company’s Annual Report on Form 10-K, for the period ended December 31, 2025 under the section titled “Transactions with Related Persons.”, and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880" w:top="270" w:right="479" w:bottom="1440" w:gutter="0" w:footer="0" w:header="0"/>
        </w:sectPr>
      </w:pPr>
    </w:p>
    <w:bookmarkStart w:id="108" w:name="page109"/>
    <w:bookmarkEnd w:id="108"/>
    <w:p>
      <w:pPr>
        <w:ind w:left="4" w:right="20" w:firstLine="419"/>
        <w:spacing w:after="0" w:line="276" w:lineRule="auto"/>
        <w:tabs>
          <w:tab w:leader="none" w:pos="681"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Issuances</w:t>
      </w:r>
      <w:r>
        <w:rPr>
          <w:rFonts w:ascii="Times New Roman" w:cs="Times New Roman" w:eastAsia="Times New Roman" w:hAnsi="Times New Roman"/>
          <w:sz w:val="17"/>
          <w:szCs w:val="17"/>
          <w:color w:val="auto"/>
        </w:rPr>
        <w:t>. The Company shall not, directly or indirectly, without the prior written consent of the Required Holders (as defined in the Securities Purchase Agreement), (i) issue any Notes (other than as contemplated by the Securities Purchase Agreement and the Notes) or</w:t>
      </w:r>
    </w:p>
    <w:p>
      <w:pPr>
        <w:ind w:left="264" w:hanging="264"/>
        <w:spacing w:after="0"/>
        <w:tabs>
          <w:tab w:leader="none" w:pos="2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other securities that would cause a breach or default under the Notes.</w:t>
      </w:r>
    </w:p>
    <w:p>
      <w:pPr>
        <w:spacing w:after="0" w:line="98" w:lineRule="exact"/>
        <w:rPr>
          <w:rFonts w:ascii="Times New Roman" w:cs="Times New Roman" w:eastAsia="Times New Roman" w:hAnsi="Times New Roman"/>
          <w:sz w:val="18"/>
          <w:szCs w:val="18"/>
          <w:color w:val="auto"/>
        </w:rPr>
      </w:pPr>
    </w:p>
    <w:p>
      <w:pPr>
        <w:ind w:left="4" w:right="80" w:firstLine="419"/>
        <w:spacing w:after="0" w:line="253"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Subsidiaries</w:t>
      </w:r>
      <w:r>
        <w:rPr>
          <w:rFonts w:ascii="Times New Roman" w:cs="Times New Roman" w:eastAsia="Times New Roman" w:hAnsi="Times New Roman"/>
          <w:sz w:val="18"/>
          <w:szCs w:val="18"/>
          <w:color w:val="auto"/>
        </w:rPr>
        <w:t>. Simultaneously with the acquisition or formation of each New Subsidiary, the Company shall cause such New Subsidiary to execute, and deliver to each holder of Notes, all Security Documents (as defined in the Securities Purchase Agreement) and Guaranties (as defined in the Securities Purchase Agreement) as requested by the Collateral Agent or the Required Holders, as applicable. The Company shall also deliver to the Collateral Agent an opinion of counsel to such New Subsidiary that is reasonably satisfactory to the Collateral Agent and the Required Holders covering such legal matters with respect to such New Subsidiary becoming a guarantor of the Company’s obligations, executing and delivering the Security Document and the Guaranties and any other matters that the Collateral Agent or the Required Holders may reasonably request. The Company shall deliver, or cause the applicable Subsidiary to deliver to the Collateral Agent, each of the physical stock certificates of such New Subsidiary, along with undated stock powers for each such certificates, executed in blank (or, if any such shares of capital stock are uncertificated, confirmation and evidence reasonably satisfactory to the Collateral Agent and the Required Holders that the security interest in such uncertificated securities has been transferred to and perfected by the Collateral Agent, in accordance with Sections 8-313, 8-321 and 9-115 of the Uniform Commercial Code or any other similar or local or foreign law that may be applicable).</w:t>
      </w:r>
    </w:p>
    <w:p>
      <w:pPr>
        <w:spacing w:after="0" w:line="8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Collateral; Collateral Records</w:t>
      </w:r>
      <w:r>
        <w:rPr>
          <w:rFonts w:ascii="Times New Roman" w:cs="Times New Roman" w:eastAsia="Times New Roman" w:hAnsi="Times New Roman"/>
          <w:sz w:val="18"/>
          <w:szCs w:val="18"/>
          <w:color w:val="auto"/>
        </w:rPr>
        <w:t>. The Company shall (i) give the Collateral Agent not less than thirty (30) days’ prior written notice of any change in the location of any Collateral (as defined in the Security Documents), other than to locations set forth in the Perfection Certificate (as defined in the Securities Purchase Agreement) hereto and with respect to which the Collateral Agent has filed financing statements and otherwise fully perfected its Liens thereon, (ii) advise the Collateral Agent promptly, in sufficient detail, of any material adverse change relating to the type, quantity or quality of the Collateral or the Lien granted thereon and (iii) execute and deliver, and cause each of its Subsidiaries to execute and deliver, to the Collateral Agent for the benefit of the Holder and holders of the Other Notes from time to time, solely for the Collateral Agent’s convenience in maintaining a record of Collateral, such written statements and schedules as the Collateral Agent or any Holder may reasonably require, designating, identifying or describing the Collateral.</w:t>
      </w:r>
    </w:p>
    <w:p>
      <w:pPr>
        <w:spacing w:after="0" w:line="83"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4"/>
          </w:cols>
          <w:pgMar w:left="876" w:top="270" w:right="459" w:bottom="1440" w:gutter="0" w:footer="0" w:header="0"/>
        </w:sectPr>
      </w:pPr>
    </w:p>
    <w:bookmarkStart w:id="109" w:name="page110"/>
    <w:bookmarkEnd w:id="109"/>
    <w:p>
      <w:pPr>
        <w:ind w:firstLine="419"/>
        <w:spacing w:after="0" w:line="254" w:lineRule="auto"/>
        <w:tabs>
          <w:tab w:leader="none" w:pos="6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Covenants; Announcement of Operating Results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15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Liquidity Test</w:t>
      </w:r>
      <w:r>
        <w:rPr>
          <w:rFonts w:ascii="Times New Roman" w:cs="Times New Roman" w:eastAsia="Times New Roman" w:hAnsi="Times New Roman"/>
          <w:sz w:val="18"/>
          <w:szCs w:val="18"/>
          <w:color w:val="auto"/>
        </w:rPr>
        <w:t>. At any time any Notes remain outstanding, the Company’s Available Cash as of the last calendar day in each Fiscal Quarter (each, a “</w:t>
      </w:r>
      <w:r>
        <w:rPr>
          <w:rFonts w:ascii="Times New Roman" w:cs="Times New Roman" w:eastAsia="Times New Roman" w:hAnsi="Times New Roman"/>
          <w:sz w:val="18"/>
          <w:szCs w:val="18"/>
          <w:b w:val="1"/>
          <w:bCs w:val="1"/>
          <w:color w:val="auto"/>
        </w:rPr>
        <w:t>Fiscal Period Measuring Date</w:t>
      </w:r>
      <w:r>
        <w:rPr>
          <w:rFonts w:ascii="Times New Roman" w:cs="Times New Roman" w:eastAsia="Times New Roman" w:hAnsi="Times New Roman"/>
          <w:sz w:val="18"/>
          <w:szCs w:val="18"/>
          <w:color w:val="auto"/>
        </w:rPr>
        <w:t>”) shall equal or exceed $1,000,000 (the “</w:t>
      </w:r>
      <w:r>
        <w:rPr>
          <w:rFonts w:ascii="Times New Roman" w:cs="Times New Roman" w:eastAsia="Times New Roman" w:hAnsi="Times New Roman"/>
          <w:sz w:val="18"/>
          <w:szCs w:val="18"/>
          <w:b w:val="1"/>
          <w:bCs w:val="1"/>
          <w:color w:val="auto"/>
        </w:rPr>
        <w:t>Minimum Liquidity Test</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540" w:right="200" w:firstLine="408"/>
        <w:spacing w:after="0" w:line="262" w:lineRule="auto"/>
        <w:tabs>
          <w:tab w:leader="none" w:pos="120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Capital Test</w:t>
      </w:r>
      <w:r>
        <w:rPr>
          <w:rFonts w:ascii="Times New Roman" w:cs="Times New Roman" w:eastAsia="Times New Roman" w:hAnsi="Times New Roman"/>
          <w:sz w:val="18"/>
          <w:szCs w:val="18"/>
          <w:color w:val="auto"/>
        </w:rPr>
        <w:t>. As of the time immediately following the time of consummation of the Shoe Business Sale (“</w:t>
      </w:r>
      <w:r>
        <w:rPr>
          <w:rFonts w:ascii="Times New Roman" w:cs="Times New Roman" w:eastAsia="Times New Roman" w:hAnsi="Times New Roman"/>
          <w:sz w:val="18"/>
          <w:szCs w:val="18"/>
          <w:b w:val="1"/>
          <w:bCs w:val="1"/>
          <w:color w:val="auto"/>
        </w:rPr>
        <w:t>Shoe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the Company shall have, in a segregated account subject to an account control agreement of the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Cash of at least $2.5 million (the “</w:t>
      </w:r>
      <w:r>
        <w:rPr>
          <w:rFonts w:ascii="Times New Roman" w:cs="Times New Roman" w:eastAsia="Times New Roman" w:hAnsi="Times New Roman"/>
          <w:sz w:val="18"/>
          <w:szCs w:val="18"/>
          <w:b w:val="1"/>
          <w:bCs w:val="1"/>
          <w:color w:val="auto"/>
        </w:rPr>
        <w:t>Working Capital Test</w:t>
      </w:r>
      <w:r>
        <w:rPr>
          <w:rFonts w:ascii="Times New Roman" w:cs="Times New Roman" w:eastAsia="Times New Roman" w:hAnsi="Times New Roman"/>
          <w:sz w:val="18"/>
          <w:szCs w:val="18"/>
          <w:color w:val="auto"/>
        </w:rPr>
        <w:t>”, and together with the Minimum Liquidity Test, each a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Test</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540" w:right="20" w:firstLine="408"/>
        <w:spacing w:after="0" w:line="243" w:lineRule="auto"/>
        <w:tabs>
          <w:tab w:leader="none" w:pos="125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Results Announcement</w:t>
      </w:r>
      <w:r>
        <w:rPr>
          <w:rFonts w:ascii="Times New Roman" w:cs="Times New Roman" w:eastAsia="Times New Roman" w:hAnsi="Times New Roman"/>
          <w:sz w:val="18"/>
          <w:szCs w:val="18"/>
          <w:color w:val="auto"/>
        </w:rPr>
        <w:t>. Commencing on the date hereof, the Company shall publicly disclose and disseminate (such date, the “</w:t>
      </w:r>
      <w:r>
        <w:rPr>
          <w:rFonts w:ascii="Times New Roman" w:cs="Times New Roman" w:eastAsia="Times New Roman" w:hAnsi="Times New Roman"/>
          <w:sz w:val="18"/>
          <w:szCs w:val="18"/>
          <w:b w:val="1"/>
          <w:bCs w:val="1"/>
          <w:color w:val="auto"/>
        </w:rPr>
        <w:t>Announcement Date</w:t>
      </w:r>
      <w:r>
        <w:rPr>
          <w:rFonts w:ascii="Times New Roman" w:cs="Times New Roman" w:eastAsia="Times New Roman" w:hAnsi="Times New Roman"/>
          <w:sz w:val="18"/>
          <w:szCs w:val="18"/>
          <w:color w:val="auto"/>
        </w:rPr>
        <w:t>”), if the Working Capital Test has not been satisfied as of the Shoe Sale Closing Time or if the Minimum Liquidity Test has not been satisfied as of any Fiscal Quarter or Fiscal Year, as applicable, a statement to that effect no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end of such Shoe Sale Closing Time, Fiscal Quarter or Fiscal Year, as applicable, and such announcement shall include a statement to the effect that the Company is (or is not, as applicable) in breach of any Financial Test for such Shoe Sale Closing Time, Fiscal Quarter or Fiscal Year, as applicable. On the Announcement Date, the Company shall also provide to the Holder a certification, executed on behalf of the Company by the Chief Financial Officer of the Company, certifying that the Company satisfied each Financial Test for such Shoe Sale Closing Time, Fiscal Quarter or Fiscal Year, as applicable, if that is the case. If the Company has failed to meet one or more Financial Tests for such Shoe Sale Closing Time, Fiscal Quarter or Fiscal Year, as applicable, (each a “</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on or prior to the Announcement Date, the Company shall provide to the Holders a written certification, executed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by the Chief Financial Officer of the Company, certifying which Financial Test(s) have not been met for such Shoe Sale Closing Time, Fiscal Quarter or Fiscal Year, as applicable (a “</w:t>
      </w:r>
      <w:r>
        <w:rPr>
          <w:rFonts w:ascii="Times New Roman" w:cs="Times New Roman" w:eastAsia="Times New Roman" w:hAnsi="Times New Roman"/>
          <w:sz w:val="18"/>
          <w:szCs w:val="18"/>
          <w:b w:val="1"/>
          <w:bCs w:val="1"/>
          <w:color w:val="auto"/>
        </w:rPr>
        <w:t>Financial Covenant Failure Notice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20"/>
          </w:cols>
          <w:pgMar w:left="880" w:top="270" w:right="499" w:bottom="1440" w:gutter="0" w:footer="0" w:header="0"/>
        </w:sectPr>
      </w:pPr>
    </w:p>
    <w:bookmarkStart w:id="110" w:name="page111"/>
    <w:bookmarkEnd w:id="110"/>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Concurrently with the delivery of each Financial Covenant Failure Notice to the Holders, the Company shall also make publicly available (as part of a Quarterly Report on Form 10-Q, Annual Report on Form 10-K or on a Current Report on Form 8-K, or otherwise) the Financial Covenant Failure Notice and the fact that an Event of Default has occurred under the Notes.</w:t>
      </w:r>
    </w:p>
    <w:p>
      <w:pPr>
        <w:spacing w:after="0" w:line="68" w:lineRule="exact"/>
        <w:rPr>
          <w:sz w:val="20"/>
          <w:szCs w:val="20"/>
          <w:color w:val="auto"/>
        </w:rPr>
      </w:pPr>
    </w:p>
    <w:p>
      <w:pPr>
        <w:ind w:left="1080" w:hanging="221"/>
        <w:spacing w:after="0"/>
        <w:tabs>
          <w:tab w:leader="none" w:pos="10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that with the passage of time or giving of notice would constitute an Event of Default or (z) at any time the</w:t>
      </w:r>
    </w:p>
    <w:p>
      <w:pPr>
        <w:spacing w:after="0" w:line="9"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Investigator</w:t>
      </w:r>
      <w:r>
        <w:rPr>
          <w:rFonts w:ascii="Times New Roman" w:cs="Times New Roman" w:eastAsia="Times New Roman" w:hAnsi="Times New Roman"/>
          <w:sz w:val="18"/>
          <w:szCs w:val="18"/>
          <w:color w:val="auto"/>
        </w:rPr>
        <w:t>”). If the Independent Investigator determines that such breach of this Note has occurred, the Independent Investigator shall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191" w:lineRule="exact"/>
        <w:rPr>
          <w:sz w:val="20"/>
          <w:szCs w:val="20"/>
          <w:color w:val="auto"/>
        </w:rPr>
      </w:pPr>
    </w:p>
    <w:p>
      <w:pPr>
        <w:ind w:right="340" w:firstLine="436"/>
        <w:spacing w:after="0" w:line="282" w:lineRule="auto"/>
        <w:tabs>
          <w:tab w:leader="none" w:pos="71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Note and the Other Notes are secured to the extent and in the manner set forth in the Transaction Documents (including, without limitation, the Security Agreement, the other Security Documents and the Guaranties).</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71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but excluding any Shoe Business Sale Dividend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111" w:name="page112"/>
    <w:bookmarkEnd w:id="111"/>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3" w:lineRule="exact"/>
        <w:rPr>
          <w:sz w:val="20"/>
          <w:szCs w:val="20"/>
          <w:color w:val="auto"/>
        </w:rPr>
      </w:pPr>
    </w:p>
    <w:p>
      <w:pPr>
        <w:ind w:right="40" w:firstLine="436"/>
        <w:spacing w:after="0" w:line="282" w:lineRule="auto"/>
        <w:tabs>
          <w:tab w:leader="none" w:pos="71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and this Section 18, which may not be amended, modified or waived by the parties hereto, the prior written consent of the Holder shall be required for any change, waiver or amendment to this Note.</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1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74" w:lineRule="auto"/>
        <w:tabs>
          <w:tab w:leader="none" w:pos="1107"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64" w:lineRule="exact"/>
        <w:rPr>
          <w:rFonts w:ascii="Times New Roman" w:cs="Times New Roman" w:eastAsia="Times New Roman" w:hAnsi="Times New Roman"/>
          <w:sz w:val="17"/>
          <w:szCs w:val="17"/>
          <w:color w:val="auto"/>
        </w:rPr>
      </w:pPr>
    </w:p>
    <w:p>
      <w:pPr>
        <w:ind w:left="440" w:right="100" w:firstLine="419"/>
        <w:spacing w:after="0" w:line="258" w:lineRule="auto"/>
        <w:tabs>
          <w:tab w:leader="none" w:pos="111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12" w:name="page113"/>
    <w:bookmarkEnd w:id="112"/>
    <w:p>
      <w:pPr>
        <w:ind w:left="440" w:firstLine="419"/>
        <w:spacing w:after="0" w:line="261" w:lineRule="auto"/>
        <w:tabs>
          <w:tab w:leader="none" w:pos="110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w:t>
      </w:r>
    </w:p>
    <w:p>
      <w:pPr>
        <w:spacing w:after="0" w:line="27" w:lineRule="exact"/>
        <w:rPr>
          <w:rFonts w:ascii="Times New Roman" w:cs="Times New Roman" w:eastAsia="Times New Roman" w:hAnsi="Times New Roman"/>
          <w:sz w:val="18"/>
          <w:szCs w:val="18"/>
          <w:color w:val="auto"/>
        </w:rPr>
      </w:pPr>
    </w:p>
    <w:p>
      <w:pPr>
        <w:jc w:val="both"/>
        <w:ind w:left="440" w:right="120" w:hanging="4"/>
        <w:spacing w:after="0" w:line="25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90" w:lineRule="exact"/>
        <w:rPr>
          <w:sz w:val="20"/>
          <w:szCs w:val="20"/>
          <w:color w:val="auto"/>
        </w:rPr>
      </w:pPr>
    </w:p>
    <w:p>
      <w:pPr>
        <w:ind w:firstLine="436"/>
        <w:spacing w:after="0" w:line="252" w:lineRule="auto"/>
        <w:tabs>
          <w:tab w:leader="none" w:pos="71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13" w:name="page114"/>
    <w:bookmarkEnd w:id="113"/>
    <w:p>
      <w:pPr>
        <w:ind w:left="-80" w:right="20" w:firstLine="436"/>
        <w:spacing w:after="0" w:line="255" w:lineRule="auto"/>
        <w:tabs>
          <w:tab w:leader="none" w:pos="63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8" w:lineRule="exact"/>
        <w:rPr>
          <w:rFonts w:ascii="Times New Roman" w:cs="Times New Roman" w:eastAsia="Times New Roman" w:hAnsi="Times New Roman"/>
          <w:sz w:val="18"/>
          <w:szCs w:val="18"/>
          <w:color w:val="auto"/>
        </w:rPr>
      </w:pPr>
    </w:p>
    <w:p>
      <w:pPr>
        <w:ind w:left="-80" w:right="40" w:firstLine="436"/>
        <w:spacing w:after="0" w:line="254" w:lineRule="auto"/>
        <w:tabs>
          <w:tab w:leader="none" w:pos="63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Applicable Closing Date in such other Transaction Documents unless otherwise consented to in writing by the Holder.</w:t>
      </w:r>
    </w:p>
    <w:p>
      <w:pPr>
        <w:spacing w:after="0" w:line="191" w:lineRule="exact"/>
        <w:rPr>
          <w:rFonts w:ascii="Times New Roman" w:cs="Times New Roman" w:eastAsia="Times New Roman" w:hAnsi="Times New Roman"/>
          <w:sz w:val="18"/>
          <w:szCs w:val="18"/>
          <w:color w:val="auto"/>
        </w:rPr>
      </w:pPr>
    </w:p>
    <w:p>
      <w:pPr>
        <w:ind w:left="-80" w:right="80" w:firstLine="436"/>
        <w:spacing w:after="0" w:line="281" w:lineRule="auto"/>
        <w:tabs>
          <w:tab w:leader="none" w:pos="63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p>
    <w:p>
      <w:pPr>
        <w:spacing w:after="0" w:line="164" w:lineRule="exact"/>
        <w:rPr>
          <w:rFonts w:ascii="Times New Roman" w:cs="Times New Roman" w:eastAsia="Times New Roman" w:hAnsi="Times New Roman"/>
          <w:sz w:val="17"/>
          <w:szCs w:val="17"/>
          <w:color w:val="auto"/>
        </w:rPr>
      </w:pPr>
    </w:p>
    <w:p>
      <w:pPr>
        <w:ind w:left="620" w:hanging="264"/>
        <w:spacing w:after="0"/>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241"/>
        <w:spacing w:after="0"/>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00" w:firstLine="408"/>
        <w:spacing w:after="0" w:line="254" w:lineRule="auto"/>
        <w:tabs>
          <w:tab w:leader="none" w:pos="151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a Closing Bid Price, a Closing Sale Price, a Conversion Price, an Alternate Conversion Price, a Black-Scholes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Black-Scholes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40"/>
          </w:cols>
          <w:pgMar w:left="520" w:top="270" w:right="539" w:bottom="1440" w:gutter="0" w:footer="0" w:header="0"/>
        </w:sectPr>
      </w:pPr>
    </w:p>
    <w:bookmarkStart w:id="114" w:name="page115"/>
    <w:bookmarkEnd w:id="114"/>
    <w:p>
      <w:pPr>
        <w:ind w:left="544" w:right="2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Value, such VWAP or such fair market value, or the arithmetic calculation of such Conversion Rate or such applicable Redemption Price (as the case may be), at any time after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90" w:lineRule="exact"/>
        <w:rPr>
          <w:sz w:val="20"/>
          <w:szCs w:val="20"/>
          <w:color w:val="auto"/>
        </w:rPr>
      </w:pPr>
    </w:p>
    <w:p>
      <w:pPr>
        <w:jc w:val="both"/>
        <w:ind w:left="544" w:right="20" w:firstLine="408"/>
        <w:spacing w:after="0" w:line="242" w:lineRule="auto"/>
        <w:tabs>
          <w:tab w:leader="none" w:pos="1209" w:val="left"/>
        </w:tabs>
        <w:numPr>
          <w:ilvl w:val="3"/>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and the Company shall each deliver to such investment bank (A) a copy of the initial dispute submission so delivered in accordance with the first sentence of this Section 25 and (B) written documentation supporting its position with respect to such dispute, in each case, no later than 5:00 p.m. (New York time) by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Business Day immediately following the date on which the Holder selected such investment bank (the “</w:t>
      </w:r>
      <w:r>
        <w:rPr>
          <w:rFonts w:ascii="Times New Roman" w:cs="Times New Roman" w:eastAsia="Times New Roman" w:hAnsi="Times New Roman"/>
          <w:sz w:val="17"/>
          <w:szCs w:val="17"/>
          <w:b w:val="1"/>
          <w:bCs w:val="1"/>
          <w:color w:val="auto"/>
        </w:rPr>
        <w:t>Dispute Submission Deadline</w:t>
      </w:r>
      <w:r>
        <w:rPr>
          <w:rFonts w:ascii="Times New Roman" w:cs="Times New Roman" w:eastAsia="Times New Roman" w:hAnsi="Times New Roman"/>
          <w:sz w:val="17"/>
          <w:szCs w:val="17"/>
          <w:color w:val="auto"/>
        </w:rPr>
        <w:t>”) (the documents referred to in the immediately preceding clauses</w:t>
      </w:r>
    </w:p>
    <w:p>
      <w:pPr>
        <w:spacing w:after="0" w:line="1" w:lineRule="exact"/>
        <w:rPr>
          <w:rFonts w:ascii="Times New Roman" w:cs="Times New Roman" w:eastAsia="Times New Roman" w:hAnsi="Times New Roman"/>
          <w:sz w:val="17"/>
          <w:szCs w:val="17"/>
          <w:color w:val="auto"/>
        </w:rPr>
      </w:pPr>
    </w:p>
    <w:p>
      <w:pPr>
        <w:ind w:left="544" w:right="140" w:firstLine="7"/>
        <w:spacing w:after="0" w:line="251" w:lineRule="auto"/>
        <w:tabs>
          <w:tab w:leader="none" w:pos="838"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85" w:lineRule="exact"/>
        <w:rPr>
          <w:rFonts w:ascii="Times New Roman" w:cs="Times New Roman" w:eastAsia="Times New Roman" w:hAnsi="Times New Roman"/>
          <w:sz w:val="18"/>
          <w:szCs w:val="18"/>
          <w:color w:val="auto"/>
        </w:rPr>
      </w:pPr>
    </w:p>
    <w:p>
      <w:pPr>
        <w:ind w:left="544" w:firstLine="408"/>
        <w:spacing w:after="0" w:line="261" w:lineRule="auto"/>
        <w:tabs>
          <w:tab w:leader="none" w:pos="1259"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71" w:lineRule="exact"/>
        <w:rPr>
          <w:rFonts w:ascii="Times New Roman" w:cs="Times New Roman" w:eastAsia="Times New Roman" w:hAnsi="Times New Roman"/>
          <w:sz w:val="18"/>
          <w:szCs w:val="18"/>
          <w:color w:val="auto"/>
        </w:rPr>
      </w:pPr>
    </w:p>
    <w:p>
      <w:pPr>
        <w:jc w:val="both"/>
        <w:ind w:left="4" w:right="120" w:firstLine="419"/>
        <w:spacing w:after="0" w:line="270" w:lineRule="auto"/>
        <w:tabs>
          <w:tab w:leader="none" w:pos="681"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The Company expressly acknowledges and agrees that (i) this Section 25 constitutes an agreement to arbitrate between the Company and the Holder (and constitutes an arbitration agreement) under the Delaware Uniform Arbitration Act, as amended,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w:t>
      </w:r>
    </w:p>
    <w:p>
      <w:pPr>
        <w:spacing w:after="0" w:line="2" w:lineRule="exact"/>
        <w:rPr>
          <w:rFonts w:ascii="Times New Roman" w:cs="Times New Roman" w:eastAsia="Times New Roman" w:hAnsi="Times New Roman"/>
          <w:sz w:val="17"/>
          <w:szCs w:val="17"/>
          <w:color w:val="auto"/>
        </w:rPr>
      </w:pPr>
    </w:p>
    <w:p>
      <w:pPr>
        <w:jc w:val="both"/>
        <w:ind w:left="4" w:right="200" w:hanging="4"/>
        <w:spacing w:after="0" w:line="255" w:lineRule="auto"/>
        <w:tabs>
          <w:tab w:leader="none" w:pos="2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4"/>
          </w:cols>
          <w:pgMar w:left="876" w:top="270" w:right="479" w:bottom="1440" w:gutter="0" w:footer="0" w:header="0"/>
        </w:sectPr>
      </w:pPr>
    </w:p>
    <w:bookmarkStart w:id="115" w:name="page116"/>
    <w:bookmarkEnd w:id="115"/>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25 to any state or federal court sitting in Wilmington, Delaware in lieu of utilizing the procedures set forth in this Section 25 and (v) nothing in this Section 25 shall limit the Holder from obtaining any injunctive relief or other equitable remedies (including, without limitation, with respect to any matters described in this Section 25).</w:t>
      </w:r>
    </w:p>
    <w:p>
      <w:pPr>
        <w:spacing w:after="0" w:line="189" w:lineRule="exact"/>
        <w:rPr>
          <w:sz w:val="20"/>
          <w:szCs w:val="20"/>
          <w:color w:val="auto"/>
        </w:rPr>
      </w:pPr>
    </w:p>
    <w:p>
      <w:pPr>
        <w:ind w:left="264" w:hanging="264"/>
        <w:spacing w:after="0"/>
        <w:tabs>
          <w:tab w:leader="none" w:pos="2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6"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68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78" w:lineRule="exact"/>
        <w:rPr>
          <w:rFonts w:ascii="Times New Roman" w:cs="Times New Roman" w:eastAsia="Times New Roman" w:hAnsi="Times New Roman"/>
          <w:sz w:val="18"/>
          <w:szCs w:val="18"/>
          <w:color w:val="auto"/>
        </w:rPr>
      </w:pPr>
    </w:p>
    <w:p>
      <w:pPr>
        <w:ind w:left="4" w:firstLine="419"/>
        <w:spacing w:after="0" w:line="258" w:lineRule="auto"/>
        <w:tabs>
          <w:tab w:leader="none" w:pos="6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44"/>
          </w:cols>
          <w:pgMar w:left="876" w:top="270" w:right="479" w:bottom="1440" w:gutter="0" w:footer="0" w:header="0"/>
        </w:sectPr>
      </w:pPr>
    </w:p>
    <w:bookmarkStart w:id="116" w:name="page117"/>
    <w:bookmarkEnd w:id="116"/>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seventeen percent (17%)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436"/>
        <w:spacing w:after="0" w:line="282" w:lineRule="auto"/>
        <w:tabs>
          <w:tab w:leader="none" w:pos="71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71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5" w:lineRule="exact"/>
        <w:rPr>
          <w:rFonts w:ascii="Times New Roman" w:cs="Times New Roman" w:eastAsia="Times New Roman" w:hAnsi="Times New Roman"/>
          <w:sz w:val="18"/>
          <w:szCs w:val="18"/>
          <w:color w:val="auto"/>
        </w:rPr>
      </w:pPr>
    </w:p>
    <w:p>
      <w:pPr>
        <w:ind w:right="80" w:firstLine="436"/>
        <w:spacing w:after="0" w:line="252" w:lineRule="auto"/>
        <w:tabs>
          <w:tab w:leader="none" w:pos="71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or rule (whether of the State of Delaware or any other jurisdictions) that would cause the application of the laws of any jurisdictions other than the State of Delaware. Except as otherwise required by Section 25 above,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25. </w:t>
      </w:r>
      <w:r>
        <w:rPr>
          <w:rFonts w:ascii="Times New Roman" w:cs="Times New Roman" w:eastAsia="Times New Roman" w:hAnsi="Times New Roman"/>
          <w:sz w:val="18"/>
          <w:szCs w:val="18"/>
          <w:b w:val="1"/>
          <w:bCs w:val="1"/>
          <w:color w:val="auto"/>
        </w:rPr>
        <w:t>THE</w:t>
      </w:r>
    </w:p>
    <w:p>
      <w:pPr>
        <w:spacing w:after="0" w:line="2" w:lineRule="exact"/>
        <w:rPr>
          <w:rFonts w:ascii="Times New Roman" w:cs="Times New Roman" w:eastAsia="Times New Roman" w:hAnsi="Times New Roman"/>
          <w:sz w:val="18"/>
          <w:szCs w:val="18"/>
          <w:color w:val="auto"/>
        </w:rPr>
      </w:pPr>
    </w:p>
    <w:p>
      <w:pPr>
        <w:ind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HEREBY IRREVOCABLY WAIVES ANY RIGHT IT MAY HAVE TO, AND AGREES NOT TO REQUEST, A JURY TRIAL FOR THE ADJUDICATION OF ANY DISPUTE HEREUNDER OR IN CONNECTION WITH OR ARISING OUT OF THIS NOTE OR ANY TRANSACTION CONTEMPLATED HEREBY.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17" w:name="page118"/>
    <w:bookmarkEnd w:id="117"/>
    <w:p>
      <w:pPr>
        <w:ind w:left="660" w:hanging="264"/>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 CURRENCY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0" w:firstLine="419"/>
        <w:spacing w:after="0" w:line="266" w:lineRule="auto"/>
        <w:tabs>
          <w:tab w:leader="none" w:pos="106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67" w:lineRule="exact"/>
        <w:rPr>
          <w:rFonts w:ascii="Times New Roman" w:cs="Times New Roman" w:eastAsia="Times New Roman" w:hAnsi="Times New Roman"/>
          <w:sz w:val="18"/>
          <w:szCs w:val="18"/>
          <w:color w:val="auto"/>
        </w:rPr>
      </w:pPr>
    </w:p>
    <w:p>
      <w:pPr>
        <w:ind w:left="940" w:right="220" w:firstLine="408"/>
        <w:spacing w:after="0" w:line="282" w:lineRule="auto"/>
        <w:tabs>
          <w:tab w:leader="none" w:pos="1556"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Delaware or in the courts of any other jurisdiction that will give effect to such conversion being made on such date: or</w:t>
      </w:r>
    </w:p>
    <w:p>
      <w:pPr>
        <w:spacing w:after="0" w:line="53" w:lineRule="exact"/>
        <w:rPr>
          <w:rFonts w:ascii="Times New Roman" w:cs="Times New Roman" w:eastAsia="Times New Roman" w:hAnsi="Times New Roman"/>
          <w:sz w:val="18"/>
          <w:szCs w:val="18"/>
          <w:color w:val="auto"/>
        </w:rPr>
      </w:pPr>
    </w:p>
    <w:p>
      <w:pPr>
        <w:ind w:left="940" w:firstLine="408"/>
        <w:spacing w:after="0" w:line="282" w:lineRule="auto"/>
        <w:tabs>
          <w:tab w:leader="none" w:pos="1606"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30(a)(ii)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00" w:right="160" w:firstLine="419"/>
        <w:spacing w:after="0" w:line="258" w:lineRule="auto"/>
        <w:tabs>
          <w:tab w:leader="none" w:pos="107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75" w:lineRule="exact"/>
        <w:rPr>
          <w:rFonts w:ascii="Times New Roman" w:cs="Times New Roman" w:eastAsia="Times New Roman" w:hAnsi="Times New Roman"/>
          <w:sz w:val="18"/>
          <w:szCs w:val="18"/>
          <w:color w:val="auto"/>
        </w:rPr>
      </w:pPr>
    </w:p>
    <w:p>
      <w:pPr>
        <w:ind w:left="400" w:right="380" w:firstLine="419"/>
        <w:spacing w:after="0" w:line="282" w:lineRule="auto"/>
        <w:tabs>
          <w:tab w:leader="none" w:pos="106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Note.</w:t>
      </w:r>
    </w:p>
    <w:p>
      <w:pPr>
        <w:spacing w:after="0" w:line="161"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7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left="-40" w:right="80" w:firstLine="436"/>
        <w:spacing w:after="0" w:line="261" w:lineRule="auto"/>
        <w:tabs>
          <w:tab w:leader="none" w:pos="67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80" w:top="270" w:right="479" w:bottom="1440" w:gutter="0" w:footer="0" w:header="0"/>
        </w:sectPr>
      </w:pPr>
    </w:p>
    <w:bookmarkStart w:id="118" w:name="page119"/>
    <w:bookmarkEnd w:id="118"/>
    <w:p>
      <w:pPr>
        <w:ind w:left="264" w:hanging="264"/>
        <w:spacing w:after="0"/>
        <w:tabs>
          <w:tab w:leader="none" w:pos="26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11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117"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67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Floor Price</w:t>
      </w:r>
      <w:r>
        <w:rPr>
          <w:rFonts w:ascii="Times New Roman" w:cs="Times New Roman" w:eastAsia="Times New Roman" w:hAnsi="Times New Roman"/>
          <w:sz w:val="18"/>
          <w:szCs w:val="18"/>
          <w:color w:val="auto"/>
        </w:rPr>
        <w:t>” means as determined on each six month anniversary of the Issuance Date (each, a “</w:t>
      </w:r>
      <w:r>
        <w:rPr>
          <w:rFonts w:ascii="Times New Roman" w:cs="Times New Roman" w:eastAsia="Times New Roman" w:hAnsi="Times New Roman"/>
          <w:sz w:val="18"/>
          <w:szCs w:val="18"/>
          <w:b w:val="1"/>
          <w:bCs w:val="1"/>
          <w:color w:val="auto"/>
        </w:rPr>
        <w:t>Six Month Anniversary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hereunder, the lower of (i) the Floor Price then in effect and (ii) 20% of the lower of (x) the closing price of the Common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Market (as reported by the Principal Market) as of the Trading Day ended immediately prior to such applicable Six Month Anniversary Date and (y) the quotient of (I) the sum of each the closing price of the Common Stock of the Principal Market (as reported by the Principal Market) on each Trading Day of the five (5) Trading Day period ended on, and including, the Trading Day ended immediately prior to such applicable Six Month Anniversary Date, divided by (II) five (5). All such determinations to be appropriately adjusted for any share split, share dividend, share combination or other similar transaction during any such measuring period.</w:t>
      </w:r>
    </w:p>
    <w:p>
      <w:pPr>
        <w:spacing w:after="0" w:line="74" w:lineRule="exact"/>
        <w:rPr>
          <w:rFonts w:ascii="Times New Roman" w:cs="Times New Roman" w:eastAsia="Times New Roman" w:hAnsi="Times New Roman"/>
          <w:sz w:val="18"/>
          <w:szCs w:val="18"/>
          <w:color w:val="auto"/>
        </w:rPr>
      </w:pPr>
    </w:p>
    <w:p>
      <w:pPr>
        <w:ind w:left="4" w:firstLine="419"/>
        <w:spacing w:after="0" w:line="262" w:lineRule="auto"/>
        <w:tabs>
          <w:tab w:leader="none" w:pos="68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68" w:lineRule="exact"/>
        <w:rPr>
          <w:rFonts w:ascii="Times New Roman" w:cs="Times New Roman" w:eastAsia="Times New Roman" w:hAnsi="Times New Roman"/>
          <w:sz w:val="18"/>
          <w:szCs w:val="18"/>
          <w:color w:val="auto"/>
        </w:rPr>
      </w:pPr>
    </w:p>
    <w:p>
      <w:pPr>
        <w:ind w:left="4" w:right="20" w:firstLine="419"/>
        <w:spacing w:after="0" w:line="262" w:lineRule="auto"/>
        <w:tabs>
          <w:tab w:leader="none" w:pos="67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68"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5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4"/>
          </w:cols>
          <w:pgMar w:left="876" w:top="270" w:right="459" w:bottom="1440" w:gutter="0" w:footer="0" w:header="0"/>
        </w:sectPr>
      </w:pPr>
    </w:p>
    <w:bookmarkStart w:id="119" w:name="page120"/>
    <w:bookmarkEnd w:id="119"/>
    <w:p>
      <w:pPr>
        <w:ind w:left="4" w:right="20" w:firstLine="419"/>
        <w:spacing w:after="0" w:line="270" w:lineRule="auto"/>
        <w:tabs>
          <w:tab w:leader="none" w:pos="681"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Alternate Conversion Price</w:t>
      </w:r>
      <w:r>
        <w:rPr>
          <w:rFonts w:ascii="Times New Roman" w:cs="Times New Roman" w:eastAsia="Times New Roman" w:hAnsi="Times New Roman"/>
          <w:sz w:val="17"/>
          <w:szCs w:val="17"/>
          <w:color w:val="auto"/>
        </w:rPr>
        <w:t>” means, with respect to any Alternate Conversion that price which shall be the lower of (i) the applicable Conversion Price as in effect on the applicable Conversion Date of the applicable Alternate Conversion, and (ii) the greater of (x) the Floor Price and (y) either (A) if an Event of Default then exists and is continuing, 85% of the lowest VWAP of the Common Stock of any Trading Day during the fifteen (15) consecutive Trading Day period ending and including the Trading Day immediately preceding the delivery or deemed delivery of the applicable Conversion Notice or (B) otherwise, 93% of the lowest VWAP of the Common Stock of any Trading Day during the ten</w:t>
      </w:r>
    </w:p>
    <w:p>
      <w:pPr>
        <w:spacing w:after="0" w:line="2" w:lineRule="exact"/>
        <w:rPr>
          <w:rFonts w:ascii="Times New Roman" w:cs="Times New Roman" w:eastAsia="Times New Roman" w:hAnsi="Times New Roman"/>
          <w:sz w:val="17"/>
          <w:szCs w:val="17"/>
          <w:color w:val="auto"/>
        </w:rPr>
      </w:pPr>
    </w:p>
    <w:p>
      <w:pPr>
        <w:ind w:left="4" w:right="80" w:hanging="4"/>
        <w:spacing w:after="0" w:line="253" w:lineRule="auto"/>
        <w:tabs>
          <w:tab w:leader="none" w:pos="3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and including the Trading Day immediately preceding the delivery or deemed delivery of the applicable Conversion Notice (such applicable period, the “</w:t>
      </w:r>
      <w:r>
        <w:rPr>
          <w:rFonts w:ascii="Times New Roman" w:cs="Times New Roman" w:eastAsia="Times New Roman" w:hAnsi="Times New Roman"/>
          <w:sz w:val="18"/>
          <w:szCs w:val="18"/>
          <w:b w:val="1"/>
          <w:bCs w:val="1"/>
          <w:color w:val="auto"/>
        </w:rPr>
        <w:t>Alternate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spacing w:after="0" w:line="76" w:lineRule="exact"/>
        <w:rPr>
          <w:rFonts w:ascii="Times New Roman" w:cs="Times New Roman" w:eastAsia="Times New Roman" w:hAnsi="Times New Roman"/>
          <w:sz w:val="18"/>
          <w:szCs w:val="18"/>
          <w:color w:val="auto"/>
        </w:rPr>
      </w:pPr>
    </w:p>
    <w:p>
      <w:pPr>
        <w:ind w:left="4" w:right="360" w:firstLine="419"/>
        <w:spacing w:after="0" w:line="286" w:lineRule="auto"/>
        <w:tabs>
          <w:tab w:leader="none" w:pos="68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Closing Date</w:t>
      </w:r>
      <w:r>
        <w:rPr>
          <w:rFonts w:ascii="Times New Roman" w:cs="Times New Roman" w:eastAsia="Times New Roman" w:hAnsi="Times New Roman"/>
          <w:sz w:val="18"/>
          <w:szCs w:val="18"/>
          <w:color w:val="auto"/>
        </w:rPr>
        <w:t>” means the applicable date the Company initially issued this Note pursuant to the terms of the Securities Purchase Agreement.</w:t>
      </w:r>
    </w:p>
    <w:p>
      <w:pPr>
        <w:spacing w:after="0" w:line="46" w:lineRule="exact"/>
        <w:rPr>
          <w:rFonts w:ascii="Times New Roman" w:cs="Times New Roman" w:eastAsia="Times New Roman" w:hAnsi="Times New Roman"/>
          <w:sz w:val="18"/>
          <w:szCs w:val="18"/>
          <w:color w:val="auto"/>
        </w:rPr>
      </w:pPr>
    </w:p>
    <w:p>
      <w:pPr>
        <w:ind w:left="4" w:firstLine="419"/>
        <w:spacing w:after="0" w:line="268" w:lineRule="auto"/>
        <w:tabs>
          <w:tab w:leader="none" w:pos="64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w:t>
      </w:r>
    </w:p>
    <w:p>
      <w:pPr>
        <w:spacing w:after="0" w:line="62"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4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74" w:lineRule="exact"/>
        <w:rPr>
          <w:rFonts w:ascii="Times New Roman" w:cs="Times New Roman" w:eastAsia="Times New Roman" w:hAnsi="Times New Roman"/>
          <w:sz w:val="18"/>
          <w:szCs w:val="18"/>
          <w:color w:val="auto"/>
        </w:rPr>
      </w:pPr>
    </w:p>
    <w:p>
      <w:pPr>
        <w:ind w:left="4" w:right="120" w:firstLine="419"/>
        <w:spacing w:after="0" w:line="262" w:lineRule="auto"/>
        <w:tabs>
          <w:tab w:leader="none" w:pos="68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with respect to any date of determination, an amount equal to the aggregate amount of the Cash of the Company and its Subsidiaries (excluding for this purpose cash held in restricted accounts or otherwise unavailable for unrestricted use by the Company or any of its Subsidiaries for any reason) as of such date of determination held in bank accounts of financial banking institutions in the United States of America.</w:t>
      </w:r>
    </w:p>
    <w:p>
      <w:pPr>
        <w:spacing w:after="0" w:line="68" w:lineRule="exact"/>
        <w:rPr>
          <w:rFonts w:ascii="Times New Roman" w:cs="Times New Roman" w:eastAsia="Times New Roman" w:hAnsi="Times New Roman"/>
          <w:sz w:val="18"/>
          <w:szCs w:val="18"/>
          <w:color w:val="auto"/>
        </w:rPr>
      </w:pPr>
    </w:p>
    <w:p>
      <w:pPr>
        <w:ind w:left="4" w:right="100" w:firstLine="419"/>
        <w:spacing w:after="0" w:line="262" w:lineRule="auto"/>
        <w:tabs>
          <w:tab w:leader="none" w:pos="64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w:t>
      </w:r>
    </w:p>
    <w:p>
      <w:pPr>
        <w:spacing w:after="0" w:line="11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4"/>
          </w:cols>
          <w:pgMar w:left="876" w:top="266" w:right="479" w:bottom="1440" w:gutter="0" w:footer="0" w:header="0"/>
        </w:sectPr>
      </w:pPr>
    </w:p>
    <w:bookmarkStart w:id="120" w:name="page121"/>
    <w:bookmarkEnd w:id="120"/>
    <w:p>
      <w:pPr>
        <w:ind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75" w:lineRule="exact"/>
        <w:rPr>
          <w:sz w:val="20"/>
          <w:szCs w:val="20"/>
          <w:color w:val="auto"/>
        </w:rPr>
      </w:pPr>
    </w:p>
    <w:p>
      <w:pPr>
        <w:ind w:left="720" w:hanging="301"/>
        <w:spacing w:after="0"/>
        <w:tabs>
          <w:tab w:leader="none" w:pos="7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117" w:lineRule="exact"/>
        <w:rPr>
          <w:rFonts w:ascii="Times New Roman" w:cs="Times New Roman" w:eastAsia="Times New Roman" w:hAnsi="Times New Roman"/>
          <w:sz w:val="18"/>
          <w:szCs w:val="18"/>
          <w:color w:val="auto"/>
        </w:rPr>
      </w:pPr>
    </w:p>
    <w:p>
      <w:pPr>
        <w:ind w:right="60" w:firstLine="419"/>
        <w:spacing w:after="0" w:line="259" w:lineRule="auto"/>
        <w:tabs>
          <w:tab w:leader="none" w:pos="6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71" w:lineRule="exact"/>
        <w:rPr>
          <w:rFonts w:ascii="Times New Roman" w:cs="Times New Roman" w:eastAsia="Times New Roman" w:hAnsi="Times New Roman"/>
          <w:sz w:val="18"/>
          <w:szCs w:val="18"/>
          <w:color w:val="auto"/>
        </w:rPr>
      </w:pPr>
    </w:p>
    <w:p>
      <w:pPr>
        <w:ind w:firstLine="419"/>
        <w:spacing w:after="0" w:line="262" w:lineRule="auto"/>
        <w:tabs>
          <w:tab w:leader="none" w:pos="6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of the Company and its Subsidiaries on any date shall be determined from such Persons’ books maintained in accordance with GAAP, and means, without duplication, cash, cash equivalents (excluding any cryptocurrencies or any other digital currencies) and treasury bonds issued by the United States of America, accrued by the Company and its wholly owned Subsidiaries on a consolidated basis on such date, and the aggregate amount of any accounts receivable (to the extent less than 30 days from invoice date).</w:t>
      </w:r>
    </w:p>
    <w:p>
      <w:pPr>
        <w:spacing w:after="0" w:line="68"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(iv) the Shoe Business Sale and the Shoe Business Sale Dividend or (v) the liquidation, dissolution, or sale of all or substantially all of the assets of any Current Subsidiary (other than the New Subsidiary (as defined in the Securities Purchase Agreement)).</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Redemption Premium</w:t>
      </w:r>
      <w:r>
        <w:rPr>
          <w:rFonts w:ascii="Times New Roman" w:cs="Times New Roman" w:eastAsia="Times New Roman" w:hAnsi="Times New Roman"/>
          <w:sz w:val="18"/>
          <w:szCs w:val="18"/>
          <w:color w:val="auto"/>
        </w:rPr>
        <w:t>” means 125%.</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20"/>
          </w:cols>
          <w:pgMar w:left="880" w:top="270" w:right="499" w:bottom="1440" w:gutter="0" w:footer="0" w:header="0"/>
        </w:sectPr>
      </w:pPr>
    </w:p>
    <w:bookmarkStart w:id="121" w:name="page122"/>
    <w:bookmarkEnd w:id="121"/>
    <w:p>
      <w:pPr>
        <w:ind w:firstLine="419"/>
        <w:spacing w:after="0" w:line="253" w:lineRule="auto"/>
        <w:tabs>
          <w:tab w:leader="none" w:pos="64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spacing w:after="0" w:line="75" w:lineRule="exact"/>
        <w:rPr>
          <w:rFonts w:ascii="Times New Roman" w:cs="Times New Roman" w:eastAsia="Times New Roman" w:hAnsi="Times New Roman"/>
          <w:sz w:val="18"/>
          <w:szCs w:val="18"/>
          <w:color w:val="auto"/>
        </w:rPr>
      </w:pPr>
    </w:p>
    <w:p>
      <w:pPr>
        <w:ind w:right="40" w:firstLine="419"/>
        <w:spacing w:after="0" w:line="286" w:lineRule="auto"/>
        <w:tabs>
          <w:tab w:leader="none" w:pos="6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Class A common stock, $0.0001 par value per share, and (ii) any capital stock into which such common stock shall have been changed or any share capital resulting from a reclassification of such common stock.</w:t>
      </w:r>
    </w:p>
    <w:p>
      <w:pPr>
        <w:spacing w:after="0" w:line="46" w:lineRule="exact"/>
        <w:rPr>
          <w:rFonts w:ascii="Times New Roman" w:cs="Times New Roman" w:eastAsia="Times New Roman" w:hAnsi="Times New Roman"/>
          <w:sz w:val="18"/>
          <w:szCs w:val="18"/>
          <w:color w:val="auto"/>
        </w:rPr>
      </w:pPr>
    </w:p>
    <w:p>
      <w:pPr>
        <w:ind w:firstLine="419"/>
        <w:spacing w:after="0" w:line="268" w:lineRule="auto"/>
        <w:tabs>
          <w:tab w:leader="none" w:pos="63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62" w:lineRule="exact"/>
        <w:rPr>
          <w:rFonts w:ascii="Times New Roman" w:cs="Times New Roman" w:eastAsia="Times New Roman" w:hAnsi="Times New Roman"/>
          <w:sz w:val="18"/>
          <w:szCs w:val="18"/>
          <w:color w:val="auto"/>
        </w:rPr>
      </w:pPr>
    </w:p>
    <w:p>
      <w:pPr>
        <w:ind w:right="320" w:firstLine="419"/>
        <w:spacing w:after="0" w:line="286" w:lineRule="auto"/>
        <w:tabs>
          <w:tab w:leader="none" w:pos="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Floor Price Condition</w:t>
      </w:r>
      <w:r>
        <w:rPr>
          <w:rFonts w:ascii="Times New Roman" w:cs="Times New Roman" w:eastAsia="Times New Roman" w:hAnsi="Times New Roman"/>
          <w:sz w:val="18"/>
          <w:szCs w:val="18"/>
          <w:color w:val="auto"/>
        </w:rPr>
        <w:t>” means that the relevant Alternate Conversion Price is being determined based on clause (x) of such definition.</w:t>
      </w:r>
    </w:p>
    <w:p>
      <w:pPr>
        <w:spacing w:after="0" w:line="46" w:lineRule="exact"/>
        <w:rPr>
          <w:rFonts w:ascii="Times New Roman" w:cs="Times New Roman" w:eastAsia="Times New Roman" w:hAnsi="Times New Roman"/>
          <w:sz w:val="18"/>
          <w:szCs w:val="18"/>
          <w:color w:val="auto"/>
        </w:rPr>
      </w:pPr>
    </w:p>
    <w:p>
      <w:pPr>
        <w:ind w:firstLine="419"/>
        <w:spacing w:after="0" w:line="268" w:lineRule="auto"/>
        <w:tabs>
          <w:tab w:leader="none" w:pos="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Subsidiary</w:t>
      </w:r>
      <w:r>
        <w:rPr>
          <w:rFonts w:ascii="Times New Roman" w:cs="Times New Roman" w:eastAsia="Times New Roman" w:hAnsi="Times New Roman"/>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Current Subsidiaries</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right="140" w:firstLine="419"/>
        <w:spacing w:after="0" w:line="286" w:lineRule="auto"/>
        <w:tabs>
          <w:tab w:leader="none" w:pos="7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Capital Market, the Nasdaq Global Select Market, the Nasdaq Global Market or the Principal Market.</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880" w:top="266" w:right="459" w:bottom="1440" w:gutter="0" w:footer="0" w:header="0"/>
        </w:sectPr>
      </w:pPr>
    </w:p>
    <w:bookmarkStart w:id="122" w:name="page123"/>
    <w:bookmarkEnd w:id="122"/>
    <w:p>
      <w:pPr>
        <w:ind w:firstLine="419"/>
        <w:spacing w:after="0" w:line="267" w:lineRule="auto"/>
        <w:tabs>
          <w:tab w:leader="none" w:pos="67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Equity Conditions</w:t>
      </w:r>
      <w:r>
        <w:rPr>
          <w:rFonts w:ascii="Times New Roman" w:cs="Times New Roman" w:eastAsia="Times New Roman" w:hAnsi="Times New Roman"/>
          <w:sz w:val="17"/>
          <w:szCs w:val="17"/>
          <w:color w:val="auto"/>
        </w:rPr>
        <w:t>” means, with respect to an given date of determination: (i) on each day during the period beginning thirty calendar days prior to such applicable date of determination and ending on and including such applicable date of determination (or, with respect to any Additional Closing (as defined in the Securities Purchase Agreement) determination in the Securities Purchase Agreement, as of the applicable Additional Closing Date (as defined in the Securities Purchase Agreement)) either (x) one or more Registration Statements filed pursuant to the Registration Rights Agreement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 w:cs="Times New Roman" w:eastAsia="Times New Roman" w:hAnsi="Times New Roman"/>
          <w:sz w:val="17"/>
          <w:szCs w:val="17"/>
          <w:b w:val="1"/>
          <w:bCs w:val="1"/>
          <w:color w:val="auto"/>
        </w:rPr>
        <w:t>Required Minimum Securities Amount</w:t>
      </w:r>
      <w:r>
        <w:rPr>
          <w:rFonts w:ascii="Times New Roman" w:cs="Times New Roman" w:eastAsia="Times New Roman" w:hAnsi="Times New Roman"/>
          <w:sz w:val="17"/>
          <w:szCs w:val="17"/>
          <w:color w:val="auto"/>
        </w:rPr>
        <w:t>”), in each case, in accordance with the terms of the Registration Rights Agreement and there shall not have been during such period any Grace Periods (as defined in the Registration Rights Agreement) or (y) all Registrable Securities shall be eligible for sale pursuant to Rule 144 (as defined in the Securities Purchase Agreement) without the need for registration under any applicable federal or state securities laws (in each case, disregarding any limitation on conversion of the Notes, other issuance of securities with respect to the Notes) and no Current Public Information Failure (as defined in the Registration Rights Agreement) exists or is continuing; (ii) on each day during the period beginning thirty calendar days prior to the applicable date of determination and ending on and including the applicable date of determination (the “</w:t>
      </w:r>
      <w:r>
        <w:rPr>
          <w:rFonts w:ascii="Times New Roman" w:cs="Times New Roman" w:eastAsia="Times New Roman" w:hAnsi="Times New Roman"/>
          <w:sz w:val="17"/>
          <w:szCs w:val="17"/>
          <w:b w:val="1"/>
          <w:bCs w:val="1"/>
          <w:color w:val="auto"/>
        </w:rPr>
        <w:t>Equity Conditions Measuring Period</w:t>
      </w:r>
      <w:r>
        <w:rPr>
          <w:rFonts w:ascii="Times New Roman" w:cs="Times New Roman" w:eastAsia="Times New Roman" w:hAnsi="Times New Roman"/>
          <w:sz w:val="17"/>
          <w:szCs w:val="17"/>
          <w:color w:val="auto"/>
        </w:rPr>
        <w:t>”), the Common Stock (including all Registrable Securities) is listed or designated for quotation (as applicable) on an Eligible Market and shall not have been suspended from trading on an Eligible Market (other than suspensions of not more than two (2)Trading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w:t>
      </w:r>
    </w:p>
    <w:p>
      <w:pPr>
        <w:spacing w:after="0" w:line="3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66" w:right="459" w:bottom="1440" w:gutter="0" w:footer="0" w:header="0"/>
        </w:sectPr>
      </w:pPr>
    </w:p>
    <w:bookmarkStart w:id="123" w:name="page124"/>
    <w:bookmarkEnd w:id="123"/>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Registrable Securities in accordance with the terms of the Registration Rights Agreement or (2) any Registrable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on each Trading Day during the Equity Conditions Measuring Period, there shall not have occurred any Volume Failure or Price Failure as of such applicable date of determination; (xi) on the applicable date of determination (A) no Authorized Share Failure shall exist or be continuing and the applicable Required Minimum Securities Amount of shares of Common Stock are available under the certificate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w:t>
      </w:r>
    </w:p>
    <w:p>
      <w:pPr>
        <w:spacing w:after="0" w:line="205" w:lineRule="exact"/>
        <w:rPr>
          <w:sz w:val="20"/>
          <w:szCs w:val="20"/>
          <w:color w:val="auto"/>
        </w:rPr>
      </w:pPr>
    </w:p>
    <w:p>
      <w:pPr>
        <w:ind w:left="4" w:right="80" w:hanging="4"/>
        <w:spacing w:after="0" w:line="253" w:lineRule="auto"/>
        <w:tabs>
          <w:tab w:leader="none" w:pos="40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bone fide dispute shall exist, by and between any of holder of Notes, the Company, the Principal Market (or such applicable Eligible Market in which the Common Stock of the Company is then principally trading) and/or FINRA with respect to any term or provision of any Note or any other Transaction Document and (xiv) the shares of Common Stock issuable pursuant the event requiring the satisfaction of the Equity Conditions are duly authorized and listed and eligible for trading without restriction on an Eligible Market.</w:t>
      </w:r>
    </w:p>
    <w:p>
      <w:pPr>
        <w:spacing w:after="0" w:line="76" w:lineRule="exact"/>
        <w:rPr>
          <w:rFonts w:ascii="Times New Roman" w:cs="Times New Roman" w:eastAsia="Times New Roman" w:hAnsi="Times New Roman"/>
          <w:sz w:val="18"/>
          <w:szCs w:val="18"/>
          <w:color w:val="auto"/>
        </w:rPr>
      </w:pPr>
    </w:p>
    <w:p>
      <w:pPr>
        <w:ind w:left="4" w:right="280" w:firstLine="419"/>
        <w:spacing w:after="0" w:line="268" w:lineRule="auto"/>
        <w:tabs>
          <w:tab w:leader="none" w:pos="6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on any day during the period commencing twenty (20) Trading Days prior to the applicable date of determination (or, with respect to any Additional Closing determination in the Securities Purchase Agreement, as of the applicable Additional Closing Date), the Equity Conditions have not been satisfied (or waived in writing by the Holder).</w:t>
      </w:r>
    </w:p>
    <w:p>
      <w:pPr>
        <w:spacing w:after="0" w:line="10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4"/>
          </w:cols>
          <w:pgMar w:left="876" w:top="270" w:right="459" w:bottom="1440" w:gutter="0" w:footer="0" w:header="0"/>
        </w:sectPr>
      </w:pPr>
    </w:p>
    <w:bookmarkStart w:id="124" w:name="page125"/>
    <w:bookmarkEnd w:id="124"/>
    <w:p>
      <w:pPr>
        <w:ind w:left="4" w:right="220" w:firstLine="419"/>
        <w:spacing w:after="0" w:line="263" w:lineRule="auto"/>
        <w:tabs>
          <w:tab w:leader="none" w:pos="67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quotient determined by dividing (x) the sum of the VWAP of the Common Stock for each of the five (5) Trading Days with the lowest VWAP of the Common Stock during the fifteen</w:t>
      </w:r>
    </w:p>
    <w:p>
      <w:pPr>
        <w:ind w:left="4" w:right="260" w:hanging="4"/>
        <w:spacing w:after="0" w:line="260" w:lineRule="auto"/>
        <w:tabs>
          <w:tab w:leader="none" w:pos="34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and including the Trading Day immediately preceding the sixteenth (16th) Trading Day after such Stock Combination Event Date, divided by (y) five (5).</w:t>
      </w:r>
    </w:p>
    <w:p>
      <w:pPr>
        <w:spacing w:after="0" w:line="69" w:lineRule="exact"/>
        <w:rPr>
          <w:rFonts w:ascii="Times New Roman" w:cs="Times New Roman" w:eastAsia="Times New Roman" w:hAnsi="Times New Roman"/>
          <w:sz w:val="18"/>
          <w:szCs w:val="18"/>
          <w:color w:val="auto"/>
        </w:rPr>
      </w:pPr>
    </w:p>
    <w:p>
      <w:pPr>
        <w:ind w:left="4" w:firstLine="419"/>
        <w:spacing w:after="0" w:line="252" w:lineRule="auto"/>
        <w:tabs>
          <w:tab w:leader="none" w:pos="75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and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w:t>
      </w:r>
    </w:p>
    <w:p>
      <w:pPr>
        <w:spacing w:after="0" w:line="85" w:lineRule="exact"/>
        <w:rPr>
          <w:rFonts w:ascii="Times New Roman" w:cs="Times New Roman" w:eastAsia="Times New Roman" w:hAnsi="Times New Roman"/>
          <w:sz w:val="18"/>
          <w:szCs w:val="18"/>
          <w:color w:val="auto"/>
        </w:rPr>
      </w:pPr>
    </w:p>
    <w:p>
      <w:pPr>
        <w:ind w:left="4" w:right="320" w:firstLine="419"/>
        <w:spacing w:after="0" w:line="286" w:lineRule="auto"/>
        <w:tabs>
          <w:tab w:leader="none" w:pos="77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of the fiscal quarters adopted by the Company for financial reporting purposes that correspond to the Company’s fiscal year as of the date hereof that ends on December 31.</w:t>
      </w:r>
    </w:p>
    <w:p>
      <w:pPr>
        <w:spacing w:after="0" w:line="46" w:lineRule="exact"/>
        <w:rPr>
          <w:rFonts w:ascii="Times New Roman" w:cs="Times New Roman" w:eastAsia="Times New Roman" w:hAnsi="Times New Roman"/>
          <w:sz w:val="18"/>
          <w:szCs w:val="18"/>
          <w:color w:val="auto"/>
        </w:rPr>
      </w:pPr>
    </w:p>
    <w:p>
      <w:pPr>
        <w:ind w:left="4" w:right="640" w:firstLine="419"/>
        <w:spacing w:after="0" w:line="286" w:lineRule="auto"/>
        <w:tabs>
          <w:tab w:leader="none" w:pos="75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adopted by the Company for financial reporting purposes as of the date hereof that ends on December 31.</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4"/>
          </w:cols>
          <w:pgMar w:left="876" w:top="266" w:right="479" w:bottom="1440" w:gutter="0" w:footer="0" w:header="0"/>
        </w:sectPr>
      </w:pPr>
    </w:p>
    <w:bookmarkStart w:id="125" w:name="page126"/>
    <w:bookmarkEnd w:id="125"/>
    <w:p>
      <w:pPr>
        <w:ind w:left="444" w:right="120" w:firstLine="419"/>
        <w:spacing w:after="0" w:line="231" w:lineRule="auto"/>
        <w:tabs>
          <w:tab w:leader="none" w:pos="121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$[__]</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(as adjusted for share splits, share dividends, share combinations, recapitalizations and similar events) provided that if on the six month anniversary of the Issuance Date (each, an “</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the Floor Price then in effect is higher than the Adjusted Floor Price with respect to the Adjustment Date, on the Adjustment Date the Floor Price shall be automatically lowered to such applicable Adjusted Floor Price.</w:t>
      </w:r>
    </w:p>
    <w:p>
      <w:pPr>
        <w:spacing w:after="0" w:line="86" w:lineRule="exact"/>
        <w:rPr>
          <w:rFonts w:ascii="Times New Roman" w:cs="Times New Roman" w:eastAsia="Times New Roman" w:hAnsi="Times New Roman"/>
          <w:sz w:val="18"/>
          <w:szCs w:val="18"/>
          <w:color w:val="auto"/>
        </w:rPr>
      </w:pPr>
    </w:p>
    <w:p>
      <w:pPr>
        <w:ind w:left="444" w:firstLine="419"/>
        <w:spacing w:after="0" w:line="253" w:lineRule="auto"/>
        <w:tabs>
          <w:tab w:leader="none" w:pos="11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w:t>
      </w:r>
    </w:p>
    <w:p>
      <w:pPr>
        <w:spacing w:after="0" w:line="4" w:lineRule="exact"/>
        <w:rPr>
          <w:rFonts w:ascii="Times New Roman" w:cs="Times New Roman" w:eastAsia="Times New Roman" w:hAnsi="Times New Roman"/>
          <w:sz w:val="18"/>
          <w:szCs w:val="18"/>
          <w:color w:val="auto"/>
        </w:rPr>
      </w:pPr>
    </w:p>
    <w:p>
      <w:pPr>
        <w:ind w:left="444" w:right="20" w:hanging="4"/>
        <w:spacing w:after="0" w:line="250" w:lineRule="auto"/>
        <w:tabs>
          <w:tab w:leader="none" w:pos="68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(B) that the Company shall, directly or indirectly, including through subsidiaries,</w:t>
      </w:r>
    </w:p>
    <w:p>
      <w:pPr>
        <w:spacing w:after="0" w:line="9" w:lineRule="exact"/>
        <w:rPr>
          <w:rFonts w:ascii="Times New Roman" w:cs="Times New Roman" w:eastAsia="Times New Roman" w:hAnsi="Times New Roman"/>
          <w:sz w:val="18"/>
          <w:szCs w:val="18"/>
          <w:color w:val="auto"/>
        </w:rPr>
      </w:pPr>
    </w:p>
    <w:p>
      <w:pPr>
        <w:ind w:left="444" w:right="1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w:t>
      </w:r>
    </w:p>
    <w:p>
      <w:pPr>
        <w:ind w:left="444" w:right="320" w:hanging="4"/>
        <w:spacing w:after="0" w:line="255" w:lineRule="auto"/>
        <w:tabs>
          <w:tab w:leader="none" w:pos="6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71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0" w:lineRule="exact"/>
        <w:rPr>
          <w:sz w:val="20"/>
          <w:szCs w:val="20"/>
          <w:color w:val="auto"/>
        </w:rPr>
      </w:pPr>
    </w:p>
    <w:p>
      <w:pPr>
        <w:ind w:left="5424" w:right="1900" w:hanging="5424"/>
        <w:spacing w:after="0" w:line="334" w:lineRule="auto"/>
        <w:tabs>
          <w:tab w:leader="none" w:pos="438" w:val="left"/>
        </w:tabs>
        <w:numPr>
          <w:ilvl w:val="0"/>
          <w:numId w:val="1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20% of the Nasdaq Minimum Price as of the Trading Day ended immediately prior to the applicable Closing Date. 51</w:t>
      </w:r>
    </w:p>
    <w:p>
      <w:pPr>
        <w:sectPr>
          <w:pgSz w:w="11900" w:h="16838" w:orient="portrait"/>
          <w:cols w:equalWidth="0" w:num="1">
            <w:col w:w="11024"/>
          </w:cols>
          <w:pgMar w:left="436" w:top="266" w:right="439" w:bottom="1440" w:gutter="0" w:footer="0" w:header="0"/>
        </w:sectPr>
      </w:pPr>
    </w:p>
    <w:bookmarkStart w:id="126" w:name="page127"/>
    <w:bookmarkEnd w:id="12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77" w:lineRule="exact"/>
        <w:rPr>
          <w:sz w:val="20"/>
          <w:szCs w:val="20"/>
          <w:color w:val="auto"/>
        </w:rPr>
      </w:pPr>
    </w:p>
    <w:p>
      <w:pPr>
        <w:ind w:left="700" w:hanging="281"/>
        <w:spacing w:after="0"/>
        <w:tabs>
          <w:tab w:leader="none" w:pos="7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rFonts w:ascii="Times New Roman" w:cs="Times New Roman" w:eastAsia="Times New Roman" w:hAnsi="Times New Roman"/>
          <w:sz w:val="18"/>
          <w:szCs w:val="18"/>
          <w:color w:val="auto"/>
        </w:rPr>
      </w:pPr>
    </w:p>
    <w:p>
      <w:pPr>
        <w:ind w:right="60" w:firstLine="419"/>
        <w:spacing w:after="0" w:line="268" w:lineRule="auto"/>
        <w:tabs>
          <w:tab w:leader="none" w:pos="7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GPU Lease</w:t>
      </w:r>
      <w:r>
        <w:rPr>
          <w:rFonts w:ascii="Times New Roman" w:cs="Times New Roman" w:eastAsia="Times New Roman" w:hAnsi="Times New Roman"/>
          <w:sz w:val="18"/>
          <w:szCs w:val="18"/>
          <w:color w:val="auto"/>
        </w:rPr>
        <w:t>” means that certain Master Lease Agreement, #0001, dated on or about the date hereof, by and between NewBird AI, LLC, as lessor, and SPRE NKC MO, LLC, as lessee, as the same may be amended, restated, amended restated, supplemented, extended, renewed or otherwise modified from time to time, together with each Lease Schedule attached thereto or delivered pursuant to the terms thereof.</w:t>
      </w:r>
    </w:p>
    <w:p>
      <w:pPr>
        <w:spacing w:after="0" w:line="62"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117" w:lineRule="exact"/>
        <w:rPr>
          <w:rFonts w:ascii="Times New Roman" w:cs="Times New Roman" w:eastAsia="Times New Roman" w:hAnsi="Times New Roman"/>
          <w:sz w:val="18"/>
          <w:szCs w:val="18"/>
          <w:color w:val="auto"/>
        </w:rPr>
      </w:pPr>
    </w:p>
    <w:p>
      <w:pPr>
        <w:ind w:right="20" w:firstLine="419"/>
        <w:spacing w:after="0" w:line="268" w:lineRule="auto"/>
        <w:tabs>
          <w:tab w:leader="none" w:pos="68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Pro Rata Amount</w:t>
      </w:r>
      <w:r>
        <w:rPr>
          <w:rFonts w:ascii="Times New Roman" w:cs="Times New Roman" w:eastAsia="Times New Roman" w:hAnsi="Times New Roman"/>
          <w:sz w:val="18"/>
          <w:szCs w:val="18"/>
          <w:color w:val="auto"/>
        </w:rPr>
        <w:t>” means a fraction (i) the numerator of which is the original Principal amount of this Note on the Applicable Closing Date and (ii) the denominator of which is the aggregate original principal amount of all Notes issued to the initial purchasers pursuant to the Securities Purchase Agreement on the Applicable Closing Date.</w:t>
      </w:r>
    </w:p>
    <w:p>
      <w:pPr>
        <w:spacing w:after="0" w:line="62"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shall have the meaning ascribed to such term in Section 2(a) of this Note.</w:t>
      </w:r>
    </w:p>
    <w:p>
      <w:pPr>
        <w:spacing w:after="0" w:line="117" w:lineRule="exact"/>
        <w:rPr>
          <w:sz w:val="20"/>
          <w:szCs w:val="20"/>
          <w:color w:val="auto"/>
        </w:rPr>
      </w:pPr>
    </w:p>
    <w:p>
      <w:pPr>
        <w:ind w:right="300" w:firstLine="419"/>
        <w:spacing w:after="0" w:line="215" w:lineRule="auto"/>
        <w:tabs>
          <w:tab w:leader="none" w:pos="68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Notice Due Date</w:t>
      </w:r>
      <w:r>
        <w:rPr>
          <w:rFonts w:ascii="Times New Roman" w:cs="Times New Roman" w:eastAsia="Times New Roman" w:hAnsi="Times New Roman"/>
          <w:sz w:val="18"/>
          <w:szCs w:val="18"/>
          <w:color w:val="auto"/>
        </w:rPr>
        <w:t>” means, with respect to any given Interest Date, the twenty-first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immediately prior to such Interest Date.</w:t>
      </w:r>
    </w:p>
    <w:p>
      <w:pPr>
        <w:spacing w:after="0" w:line="87" w:lineRule="exact"/>
        <w:rPr>
          <w:sz w:val="20"/>
          <w:szCs w:val="20"/>
          <w:color w:val="auto"/>
        </w:rPr>
      </w:pPr>
    </w:p>
    <w:p>
      <w:pPr>
        <w:ind w:left="680" w:hanging="261"/>
        <w:spacing w:after="0"/>
        <w:tabs>
          <w:tab w:leader="none" w:pos="6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twelve percent (12%) per annum, as may be adjusted from time to time in accordance with Section 2.</w:t>
      </w:r>
    </w:p>
    <w:p>
      <w:pPr>
        <w:spacing w:after="0" w:line="117" w:lineRule="exact"/>
        <w:rPr>
          <w:rFonts w:ascii="Times New Roman" w:cs="Times New Roman" w:eastAsia="Times New Roman" w:hAnsi="Times New Roman"/>
          <w:sz w:val="18"/>
          <w:szCs w:val="18"/>
          <w:color w:val="auto"/>
        </w:rPr>
      </w:pPr>
    </w:p>
    <w:p>
      <w:pPr>
        <w:ind w:right="180" w:firstLine="419"/>
        <w:spacing w:after="0" w:line="268" w:lineRule="auto"/>
        <w:tabs>
          <w:tab w:leader="none" w:pos="86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20"/>
          </w:cols>
          <w:pgMar w:left="880" w:top="270" w:right="499" w:bottom="1440" w:gutter="0" w:footer="0" w:header="0"/>
        </w:sectPr>
      </w:pPr>
    </w:p>
    <w:bookmarkStart w:id="127" w:name="page128"/>
    <w:bookmarkEnd w:id="127"/>
    <w:p>
      <w:pPr>
        <w:ind w:left="444" w:firstLine="423"/>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92" w:lineRule="exact"/>
        <w:rPr>
          <w:sz w:val="20"/>
          <w:szCs w:val="20"/>
          <w:color w:val="auto"/>
        </w:rPr>
      </w:pPr>
    </w:p>
    <w:p>
      <w:pPr>
        <w:ind w:left="444" w:firstLine="419"/>
        <w:spacing w:after="0" w:line="268" w:lineRule="auto"/>
        <w:tabs>
          <w:tab w:leader="none" w:pos="121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New Subsidiaries</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204" w:hanging="341"/>
        <w:spacing w:after="0"/>
        <w:tabs>
          <w:tab w:leader="none" w:pos="12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8" w:lineRule="auto"/>
        <w:tabs>
          <w:tab w:leader="none" w:pos="121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62" w:lineRule="exact"/>
        <w:rPr>
          <w:rFonts w:ascii="Times New Roman" w:cs="Times New Roman" w:eastAsia="Times New Roman" w:hAnsi="Times New Roman"/>
          <w:sz w:val="18"/>
          <w:szCs w:val="18"/>
          <w:color w:val="auto"/>
        </w:rPr>
      </w:pPr>
    </w:p>
    <w:p>
      <w:pPr>
        <w:jc w:val="both"/>
        <w:ind w:left="444" w:right="320" w:firstLine="419"/>
        <w:spacing w:after="0" w:line="262" w:lineRule="auto"/>
        <w:tabs>
          <w:tab w:leader="none" w:pos="115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(i) Indebtedness evidenced by this Note and the Other Notes, (ii) on or prior to the Shoe Business Sale, Indebtedness set forth on Schedule 3(s) to the Securities Purchase Agreement, as in effect as of the Subscription Date, (iii) Indebtedness secured by Permitted Liens or unsecured but as described in clauses (iv) and (v) of the definition of Permitted Liens and (iv) prior to the Shoe Business Sale, Permitted Senior Indebtedness.</w:t>
      </w:r>
    </w:p>
    <w:p>
      <w:pPr>
        <w:spacing w:after="0" w:line="68" w:lineRule="exact"/>
        <w:rPr>
          <w:rFonts w:ascii="Times New Roman" w:cs="Times New Roman" w:eastAsia="Times New Roman" w:hAnsi="Times New Roman"/>
          <w:sz w:val="18"/>
          <w:szCs w:val="18"/>
          <w:color w:val="auto"/>
        </w:rPr>
      </w:pPr>
    </w:p>
    <w:p>
      <w:pPr>
        <w:ind w:left="444" w:firstLine="419"/>
        <w:spacing w:after="0" w:line="256" w:lineRule="auto"/>
        <w:tabs>
          <w:tab w:leader="none" w:pos="117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71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5" w:lineRule="exact"/>
        <w:rPr>
          <w:sz w:val="20"/>
          <w:szCs w:val="20"/>
          <w:color w:val="auto"/>
        </w:rPr>
      </w:pPr>
    </w:p>
    <w:p>
      <w:pPr>
        <w:ind w:left="424" w:hanging="424"/>
        <w:spacing w:after="0"/>
        <w:tabs>
          <w:tab w:leader="none" w:pos="424" w:val="left"/>
        </w:tabs>
        <w:numPr>
          <w:ilvl w:val="0"/>
          <w:numId w:val="1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second anniversary of the Issuance Date.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6" w:right="459" w:bottom="1440" w:gutter="0" w:footer="0" w:header="0"/>
        </w:sectPr>
      </w:pPr>
    </w:p>
    <w:bookmarkStart w:id="128" w:name="page129"/>
    <w:bookmarkEnd w:id="12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Lien is confined solely to the property so acquired and improvements thereon, and the proceeds of such equipment, in either case, with respect to Indebtedness in an aggregate amount not to exceed the Applicable Default Dollar Threshold,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(vii) Liens arising from judgments, decrees or attachments in circumstances not constituting an Event of Default under Section 4(a)(xii) and (viii) prior to the Shoe Business Sale, Liens with respect to the Permitted Senior Indebtedness Collateral.</w:t>
      </w:r>
    </w:p>
    <w:p>
      <w:pPr>
        <w:spacing w:after="0" w:line="80" w:lineRule="exact"/>
        <w:rPr>
          <w:sz w:val="20"/>
          <w:szCs w:val="20"/>
          <w:color w:val="auto"/>
        </w:rPr>
      </w:pPr>
    </w:p>
    <w:p>
      <w:pPr>
        <w:ind w:right="40" w:firstLine="419"/>
        <w:spacing w:after="0" w:line="237" w:lineRule="auto"/>
        <w:tabs>
          <w:tab w:leader="none" w:pos="68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Senior Indebtedness</w:t>
      </w:r>
      <w:r>
        <w:rPr>
          <w:rFonts w:ascii="Times New Roman" w:cs="Times New Roman" w:eastAsia="Times New Roman" w:hAnsi="Times New Roman"/>
          <w:sz w:val="18"/>
          <w:szCs w:val="18"/>
          <w:color w:val="auto"/>
        </w:rPr>
        <w:t>” means that certain Credit Agreement dated as of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2025, by and between the Company, Allbirds International, Inc. and Second Avenue Capital Partners LLC, as in effect as of the Subscription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aggregate outstanding principal amount of such Indebtedness permitted hereunder does not at any time exceed the amount of the Senior Debt Cap (as defined in that certain Subordination Agreement, dated as of the date hereof, by and between Second Avenue Capital Partners LLC, [*], the Company, Allbirds International, Inc. and Newbird AI, LLC, the “Subordination Agreement”) plus the Excluded Obligations (as defined in the Subordination Agreement).</w:t>
      </w:r>
    </w:p>
    <w:p>
      <w:pPr>
        <w:spacing w:after="0" w:line="86" w:lineRule="exact"/>
        <w:rPr>
          <w:rFonts w:ascii="Times New Roman" w:cs="Times New Roman" w:eastAsia="Times New Roman" w:hAnsi="Times New Roman"/>
          <w:sz w:val="18"/>
          <w:szCs w:val="18"/>
          <w:color w:val="auto"/>
        </w:rPr>
      </w:pPr>
    </w:p>
    <w:p>
      <w:pPr>
        <w:ind w:right="500" w:firstLine="419"/>
        <w:spacing w:after="0" w:line="286" w:lineRule="auto"/>
        <w:tabs>
          <w:tab w:leader="none" w:pos="76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Senior Indebtedness Collateral</w:t>
      </w:r>
      <w:r>
        <w:rPr>
          <w:rFonts w:ascii="Times New Roman" w:cs="Times New Roman" w:eastAsia="Times New Roman" w:hAnsi="Times New Roman"/>
          <w:sz w:val="18"/>
          <w:szCs w:val="18"/>
          <w:color w:val="auto"/>
        </w:rPr>
        <w:t>” means any Excluded Collateral (as defined in the Security Agreement) secured by Permitted Liens by the holders of Permitted Senior Indebtedness as in effect as of the Subscription Date.</w:t>
      </w:r>
    </w:p>
    <w:p>
      <w:pPr>
        <w:spacing w:after="0" w:line="46" w:lineRule="exact"/>
        <w:rPr>
          <w:rFonts w:ascii="Times New Roman" w:cs="Times New Roman" w:eastAsia="Times New Roman" w:hAnsi="Times New Roman"/>
          <w:sz w:val="18"/>
          <w:szCs w:val="18"/>
          <w:color w:val="auto"/>
        </w:rPr>
      </w:pPr>
    </w:p>
    <w:p>
      <w:pPr>
        <w:ind w:right="440" w:firstLine="419"/>
        <w:spacing w:after="0" w:line="286" w:lineRule="auto"/>
        <w:tabs>
          <w:tab w:leader="none" w:pos="76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46" w:lineRule="exact"/>
        <w:rPr>
          <w:rFonts w:ascii="Times New Roman" w:cs="Times New Roman" w:eastAsia="Times New Roman" w:hAnsi="Times New Roman"/>
          <w:sz w:val="18"/>
          <w:szCs w:val="18"/>
          <w:color w:val="auto"/>
        </w:rPr>
      </w:pPr>
    </w:p>
    <w:p>
      <w:pPr>
        <w:ind w:firstLine="419"/>
        <w:spacing w:after="0" w:line="259" w:lineRule="auto"/>
        <w:tabs>
          <w:tab w:leader="none" w:pos="8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Failure</w:t>
      </w:r>
      <w:r>
        <w:rPr>
          <w:rFonts w:ascii="Times New Roman" w:cs="Times New Roman" w:eastAsia="Times New Roman" w:hAnsi="Times New Roman"/>
          <w:sz w:val="18"/>
          <w:szCs w:val="18"/>
          <w:color w:val="auto"/>
        </w:rPr>
        <w:t>” means, with respect to a particular date of determination, the VWAP of the Common Stock on any Trading Day during the twenty (20) Trading Day period ending on the Trading Day immediately preceding such date of determination fails to exceed $1.00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Select Market.</w:t>
      </w:r>
    </w:p>
    <w:p>
      <w:pPr>
        <w:spacing w:after="0" w:line="117" w:lineRule="exact"/>
        <w:rPr>
          <w:rFonts w:ascii="Times New Roman" w:cs="Times New Roman" w:eastAsia="Times New Roman" w:hAnsi="Times New Roman"/>
          <w:sz w:val="18"/>
          <w:szCs w:val="18"/>
          <w:color w:val="auto"/>
        </w:rPr>
      </w:pPr>
    </w:p>
    <w:p>
      <w:pPr>
        <w:ind w:right="20" w:firstLine="419"/>
        <w:spacing w:after="0" w:line="268" w:lineRule="auto"/>
        <w:tabs>
          <w:tab w:leader="none" w:pos="76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Company Optional Redemption Notices, the Asset Sale Redemption Notices, the Subsequent Placement Redemption Notices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125%.</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40"/>
          </w:cols>
          <w:pgMar w:left="880" w:top="270" w:right="479" w:bottom="1440" w:gutter="0" w:footer="0" w:header="0"/>
        </w:sectPr>
      </w:pPr>
    </w:p>
    <w:bookmarkStart w:id="129" w:name="page130"/>
    <w:bookmarkEnd w:id="129"/>
    <w:p>
      <w:pPr>
        <w:jc w:val="both"/>
        <w:ind w:right="60" w:firstLine="419"/>
        <w:spacing w:after="0" w:line="268" w:lineRule="auto"/>
        <w:tabs>
          <w:tab w:leader="none" w:pos="82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Event of Default Redemption Prices, the Company Optional Redemption Prices, the Asset Sale Redemption Prices, the Subsequent Placement Redemption Prices and the Change of Control Redemption Prices,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right="40" w:firstLine="419"/>
        <w:spacing w:after="0" w:line="262" w:lineRule="auto"/>
        <w:tabs>
          <w:tab w:leader="none" w:pos="85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Initial Closing Date (as defined in the Securities Purchase Agreement), by and among the Company and the initial holders of the Notes relating to, among other things, the registration of the resale of the Common Stock issuable upon conversion of the Notes or otherwise pursuant to the terms of the Notes, as may be amended from time to time.</w:t>
      </w:r>
    </w:p>
    <w:p>
      <w:pPr>
        <w:spacing w:after="0" w:line="68"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117" w:lineRule="exact"/>
        <w:rPr>
          <w:rFonts w:ascii="Times New Roman" w:cs="Times New Roman" w:eastAsia="Times New Roman" w:hAnsi="Times New Roman"/>
          <w:sz w:val="18"/>
          <w:szCs w:val="18"/>
          <w:color w:val="auto"/>
        </w:rPr>
      </w:pPr>
    </w:p>
    <w:p>
      <w:pPr>
        <w:ind w:right="200" w:firstLine="419"/>
        <w:spacing w:after="0" w:line="268" w:lineRule="auto"/>
        <w:tabs>
          <w:tab w:leader="none" w:pos="85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amended and restated securities purchase agreement, dated as of the Subscription Date, by and among the Company and the initial holders of the Notes pursuant to which the Company issued the Notes, as may be amended from time to time.</w:t>
      </w:r>
    </w:p>
    <w:p>
      <w:pPr>
        <w:spacing w:after="0" w:line="62"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shall have the meaning as set forth in the Securities Purchase Agreement.</w:t>
      </w:r>
    </w:p>
    <w:p>
      <w:pPr>
        <w:spacing w:after="0" w:line="117" w:lineRule="exact"/>
        <w:rPr>
          <w:rFonts w:ascii="Times New Roman" w:cs="Times New Roman" w:eastAsia="Times New Roman" w:hAnsi="Times New Roman"/>
          <w:sz w:val="18"/>
          <w:szCs w:val="18"/>
          <w:color w:val="auto"/>
        </w:rPr>
      </w:pPr>
    </w:p>
    <w:p>
      <w:pPr>
        <w:ind w:right="20" w:firstLine="419"/>
        <w:spacing w:after="0" w:line="268" w:lineRule="auto"/>
        <w:tabs>
          <w:tab w:leader="none" w:pos="76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Business Sale</w:t>
      </w:r>
      <w:r>
        <w:rPr>
          <w:rFonts w:ascii="Times New Roman" w:cs="Times New Roman" w:eastAsia="Times New Roman" w:hAnsi="Times New Roman"/>
          <w:sz w:val="18"/>
          <w:szCs w:val="18"/>
          <w:color w:val="auto"/>
        </w:rPr>
        <w:t>” means the sale of assets as contemplated in the Asset Purchase Agreement, dated March 29, 2026, as may be amended from time to time, by and between Allbirds, Inc. and Allbirds IP, LLC, and as described in the proxy statement filed by the Company on April 14, 2026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firstLine="419"/>
        <w:spacing w:after="0" w:line="286" w:lineRule="auto"/>
        <w:tabs>
          <w:tab w:leader="none" w:pos="85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Business Sale Dividend</w:t>
      </w:r>
      <w:r>
        <w:rPr>
          <w:rFonts w:ascii="Times New Roman" w:cs="Times New Roman" w:eastAsia="Times New Roman" w:hAnsi="Times New Roman"/>
          <w:sz w:val="18"/>
          <w:szCs w:val="18"/>
          <w:color w:val="auto"/>
        </w:rPr>
        <w:t>” means the dividend or distribution contemplated to paid to stockholders following the consummation of the Shoe Business Sale as described in the Proxy Statement.</w:t>
      </w:r>
    </w:p>
    <w:p>
      <w:pPr>
        <w:spacing w:after="0" w:line="46"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means April 19, 2026.</w:t>
      </w:r>
    </w:p>
    <w:p>
      <w:pPr>
        <w:spacing w:after="0" w:line="117" w:lineRule="exact"/>
        <w:rPr>
          <w:rFonts w:ascii="Times New Roman" w:cs="Times New Roman" w:eastAsia="Times New Roman" w:hAnsi="Times New Roman"/>
          <w:sz w:val="18"/>
          <w:szCs w:val="18"/>
          <w:color w:val="auto"/>
        </w:rPr>
      </w:pPr>
    </w:p>
    <w:p>
      <w:pPr>
        <w:ind w:right="120" w:firstLine="419"/>
        <w:spacing w:after="0" w:line="286" w:lineRule="auto"/>
        <w:tabs>
          <w:tab w:leader="none" w:pos="73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as of any date of determination, collectively, all Current Subsidiaries and all New Subsidiaries, and each of the foregoing, individually,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117" w:lineRule="exact"/>
        <w:rPr>
          <w:rFonts w:ascii="Times New Roman" w:cs="Times New Roman" w:eastAsia="Times New Roman" w:hAnsi="Times New Roman"/>
          <w:sz w:val="18"/>
          <w:szCs w:val="18"/>
          <w:color w:val="auto"/>
        </w:rPr>
      </w:pPr>
    </w:p>
    <w:p>
      <w:pPr>
        <w:jc w:val="both"/>
        <w:ind w:right="220" w:firstLine="419"/>
        <w:spacing w:after="0" w:line="268" w:lineRule="auto"/>
        <w:tabs>
          <w:tab w:leader="none" w:pos="85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20"/>
          </w:cols>
          <w:pgMar w:left="880" w:top="266" w:right="499" w:bottom="1440" w:gutter="0" w:footer="0" w:header="0"/>
        </w:sectPr>
      </w:pPr>
    </w:p>
    <w:bookmarkStart w:id="130" w:name="page131"/>
    <w:bookmarkEnd w:id="130"/>
    <w:p>
      <w:pPr>
        <w:ind w:left="440" w:right="20" w:firstLine="419"/>
        <w:spacing w:after="0" w:line="254" w:lineRule="auto"/>
        <w:tabs>
          <w:tab w:leader="none" w:pos="117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80" w:lineRule="exact"/>
        <w:rPr>
          <w:rFonts w:ascii="Times New Roman" w:cs="Times New Roman" w:eastAsia="Times New Roman" w:hAnsi="Times New Roman"/>
          <w:sz w:val="18"/>
          <w:szCs w:val="18"/>
          <w:color w:val="auto"/>
        </w:rPr>
      </w:pPr>
    </w:p>
    <w:p>
      <w:pPr>
        <w:ind w:left="440" w:right="160" w:firstLine="419"/>
        <w:spacing w:after="0" w:line="291" w:lineRule="auto"/>
        <w:tabs>
          <w:tab w:leader="none" w:pos="1448"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Volume Failure</w:t>
      </w:r>
      <w:r>
        <w:rPr>
          <w:rFonts w:ascii="Times New Roman" w:cs="Times New Roman" w:eastAsia="Times New Roman" w:hAnsi="Times New Roman"/>
          <w:sz w:val="17"/>
          <w:szCs w:val="17"/>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 w:cs="Times New Roman" w:eastAsia="Times New Roman" w:hAnsi="Times New Roman"/>
          <w:sz w:val="17"/>
          <w:szCs w:val="17"/>
          <w:b w:val="1"/>
          <w:bCs w:val="1"/>
          <w:color w:val="auto"/>
        </w:rPr>
        <w:t>Volume Failure Measuring Period</w:t>
      </w:r>
      <w:r>
        <w:rPr>
          <w:rFonts w:ascii="Times New Roman" w:cs="Times New Roman" w:eastAsia="Times New Roman" w:hAnsi="Times New Roman"/>
          <w:sz w:val="17"/>
          <w:szCs w:val="17"/>
          <w:color w:val="auto"/>
        </w:rPr>
        <w:t>”), is less than $300,000.</w:t>
      </w:r>
    </w:p>
    <w:p>
      <w:pPr>
        <w:spacing w:after="0" w:line="44" w:lineRule="exact"/>
        <w:rPr>
          <w:rFonts w:ascii="Times New Roman" w:cs="Times New Roman" w:eastAsia="Times New Roman" w:hAnsi="Times New Roman"/>
          <w:sz w:val="17"/>
          <w:szCs w:val="17"/>
          <w:color w:val="auto"/>
        </w:rPr>
      </w:pPr>
    </w:p>
    <w:p>
      <w:pPr>
        <w:ind w:left="440" w:right="20" w:firstLine="419"/>
        <w:spacing w:after="0" w:line="253" w:lineRule="auto"/>
        <w:tabs>
          <w:tab w:leader="none" w:pos="129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spacing w:after="0" w:line="191"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131" w:name="page132"/>
    <w:bookmarkEnd w:id="131"/>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p>
    <w:p>
      <w:pPr>
        <w:spacing w:after="0" w:line="180" w:lineRule="exact"/>
        <w:rPr>
          <w:sz w:val="20"/>
          <w:szCs w:val="20"/>
          <w:color w:val="auto"/>
        </w:rPr>
      </w:pPr>
    </w:p>
    <w:p>
      <w:pPr>
        <w:jc w:val="both"/>
        <w:ind w:left="4" w:firstLine="436"/>
        <w:spacing w:after="0" w:line="276" w:lineRule="auto"/>
        <w:tabs>
          <w:tab w:leader="none" w:pos="714"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TRADING AND DISCLOSURE RESTRICTIONS</w:t>
      </w:r>
      <w:r>
        <w:rPr>
          <w:rFonts w:ascii="Times New Roman" w:cs="Times New Roman" w:eastAsia="Times New Roman" w:hAnsi="Times New Roman"/>
          <w:sz w:val="17"/>
          <w:szCs w:val="17"/>
          <w:color w:val="auto"/>
        </w:rPr>
        <w:t>. The Company acknowledges and agrees that the Holder is not a fiduciary or agent of the Company and that the Holder shall have no obligation to (a) maintain the confidentiality of any information provided by the Company or</w:t>
      </w:r>
    </w:p>
    <w:p>
      <w:pPr>
        <w:ind w:left="4" w:right="20" w:hanging="4"/>
        <w:spacing w:after="0" w:line="253" w:lineRule="auto"/>
        <w:tabs>
          <w:tab w:leader="none" w:pos="2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4"/>
          </w:cols>
          <w:pgMar w:left="436" w:top="270"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 as of the Issuance Date set out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Senior Convertible Note - Signature Page</w:t>
      </w:r>
    </w:p>
    <w:p>
      <w:pPr>
        <w:sectPr>
          <w:pgSz w:w="11900" w:h="16838" w:orient="portrait"/>
          <w:cols w:equalWidth="0" w:num="1">
            <w:col w:w="9579"/>
          </w:cols>
          <w:pgMar w:left="880" w:top="270" w:right="1440" w:bottom="1440" w:gutter="0" w:footer="0" w:header="0"/>
        </w:sectPr>
      </w:pPr>
    </w:p>
    <w:bookmarkStart w:id="133" w:name="page134"/>
    <w:bookmarkEnd w:id="133"/>
    <w:p>
      <w:pPr>
        <w:ind w:left="50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11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3"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Reference is made to the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Allbirds,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Class A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 of</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5715</wp:posOffset>
            </wp:positionV>
            <wp:extent cx="5854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27"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17145</wp:posOffset>
            </wp:positionV>
            <wp:extent cx="42430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124"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Aggregate accrued and unpaid Interest</w:t>
      </w:r>
    </w:p>
    <w:p>
      <w:pPr>
        <w:spacing w:after="0" w:line="27"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and accrued and unpaid Late Charges</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with respect to such portion of the</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Aggregate Principal and such Aggregate</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-10795</wp:posOffset>
            </wp:positionV>
            <wp:extent cx="42430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AGGREGATE CONVERSION AMOUNT</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-10795</wp:posOffset>
            </wp:positionV>
            <wp:extent cx="42430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52"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17145</wp:posOffset>
            </wp:positionV>
            <wp:extent cx="5469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69255" cy="8890"/>
                    </a:xfrm>
                    <a:prstGeom prst="rect">
                      <a:avLst/>
                    </a:prstGeom>
                    <a:noFill/>
                  </pic:spPr>
                </pic:pic>
              </a:graphicData>
            </a:graphic>
          </wp:anchor>
        </w:drawing>
      </w:r>
    </w:p>
    <w:p>
      <w:pPr>
        <w:spacing w:after="0" w:line="232"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7"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-10795</wp:posOffset>
            </wp:positionV>
            <wp:extent cx="45091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87" w:lineRule="exact"/>
        <w:rPr>
          <w:sz w:val="20"/>
          <w:szCs w:val="20"/>
          <w:color w:val="auto"/>
        </w:rPr>
      </w:pPr>
    </w:p>
    <w:p>
      <w:pPr>
        <w:ind w:left="4" w:right="140" w:hanging="4"/>
        <w:spacing w:after="0" w:line="282" w:lineRule="auto"/>
        <w:tabs>
          <w:tab w:leader="none" w:pos="211" w:val="left"/>
        </w:tabs>
        <w:numPr>
          <w:ilvl w:val="0"/>
          <w:numId w:val="18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Alternate Conversion, check here if Holder is electing to use the following Alternate Conversion Price:____________</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131" w:lineRule="exact"/>
        <w:rPr>
          <w:sz w:val="20"/>
          <w:szCs w:val="20"/>
          <w:color w:val="auto"/>
        </w:rPr>
      </w:pPr>
    </w:p>
    <w:p>
      <w:pPr>
        <w:ind w:left="444" w:right="2720" w:hanging="12"/>
        <w:spacing w:after="0" w:line="423" w:lineRule="auto"/>
        <w:tabs>
          <w:tab w:leader="none" w:pos="971" w:val="left"/>
        </w:tabs>
        <w:numPr>
          <w:ilvl w:val="0"/>
          <w:numId w:val="1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-99695</wp:posOffset>
            </wp:positionV>
            <wp:extent cx="59747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74715" cy="8890"/>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53975</wp:posOffset>
            </wp:positionV>
            <wp:extent cx="5974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208280</wp:posOffset>
            </wp:positionV>
            <wp:extent cx="59747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944"/>
          </w:cols>
          <w:pgMar w:left="436" w:top="266" w:right="519" w:bottom="1440" w:gutter="0" w:footer="0" w:header="0"/>
        </w:sectPr>
      </w:pPr>
    </w:p>
    <w:bookmarkStart w:id="134" w:name="page135"/>
    <w:bookmarkEnd w:id="134"/>
    <w:p>
      <w:pPr>
        <w:ind w:left="500" w:right="3159" w:hanging="72"/>
        <w:spacing w:after="0" w:line="399" w:lineRule="auto"/>
        <w:tabs>
          <w:tab w:leader="none" w:pos="973" w:val="left"/>
        </w:tabs>
        <w:numPr>
          <w:ilvl w:val="0"/>
          <w:numId w:val="1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Check here if requesting delivery by Deposit/Withdrawal at Custodian as follows: DTC Participant:</w:t>
      </w:r>
    </w:p>
    <w:p>
      <w:pPr>
        <w:ind w:left="500" w:right="8239"/>
        <w:spacing w:after="0" w:line="478" w:lineRule="auto"/>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DTC Number: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-567690</wp:posOffset>
            </wp:positionV>
            <wp:extent cx="5469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69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-344805</wp:posOffset>
            </wp:positionV>
            <wp:extent cx="5469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69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-121920</wp:posOffset>
            </wp:positionV>
            <wp:extent cx="5469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__, ____________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Tax ID:______________________________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ectPr>
          <w:pgSz w:w="11900" w:h="16838" w:orient="portrait"/>
          <w:cols w:equalWidth="0" w:num="1">
            <w:col w:w="10019"/>
          </w:cols>
          <w:pgMar w:left="440" w:top="270"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in accordance with the Transfer Agent Instructions dated _____________, 20__ from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 by ________________________.</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66" w:right="4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19, 2026, is by and among Allbirds, Inc., a Delaware corporation with offices located at 530 Washington Street, San Francisco, CA 94111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buyers (each,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 In connection with the Amended and Restated Securities Purchase Agreement by and among the parties hereto, dated as of April 19, 2026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each Buyer the Notes (as defined in the Securities Purchase Agreement) which will be convertible into Conversion Shares (as defined in the Securities Purchase Agreement) in accordance with the terms of the Notes.</w:t>
      </w:r>
    </w:p>
    <w:p>
      <w:pPr>
        <w:spacing w:after="0" w:line="18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B. 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applicable state securities laws.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each of the Buyers hereby agree as follows:</w:t>
      </w:r>
    </w:p>
    <w:p>
      <w:pPr>
        <w:spacing w:after="0" w:line="51" w:lineRule="exact"/>
        <w:rPr>
          <w:sz w:val="20"/>
          <w:szCs w:val="20"/>
          <w:color w:val="auto"/>
        </w:rPr>
      </w:pPr>
    </w:p>
    <w:p>
      <w:pPr>
        <w:ind w:left="184" w:hanging="184"/>
        <w:spacing w:after="0"/>
        <w:tabs>
          <w:tab w:leader="none" w:pos="18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03" w:lineRule="exact"/>
        <w:rPr>
          <w:sz w:val="20"/>
          <w:szCs w:val="20"/>
          <w:color w:val="auto"/>
        </w:rPr>
      </w:pPr>
    </w:p>
    <w:p>
      <w:pPr>
        <w:ind w:left="4" w:right="80" w:firstLine="436"/>
        <w:spacing w:after="0" w:line="259" w:lineRule="auto"/>
        <w:tabs>
          <w:tab w:leader="none" w:pos="68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ectPr>
          <w:pgSz w:w="11900" w:h="16838" w:orient="portrait"/>
          <w:cols w:equalWidth="0" w:num="1">
            <w:col w:w="11024"/>
          </w:cols>
          <w:pgMar w:left="436" w:top="117" w:right="439" w:bottom="1440" w:gutter="0" w:footer="0" w:header="0"/>
        </w:sectPr>
      </w:pPr>
    </w:p>
    <w:bookmarkStart w:id="137" w:name="page138"/>
    <w:bookmarkEnd w:id="137"/>
    <w:p>
      <w:pPr>
        <w:ind w:firstLine="436"/>
        <w:spacing w:after="0" w:line="213"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2(a), the earlier of the (A)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after the Initial Closing Date and (B)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on which the Company was required to file such additional Registration Statement and (B)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after the date the Company is notified (orally or in writing, whichever is earlier) by the SEC that such Registration Statement will not be reviewed or will not be subject to further review.</w:t>
      </w:r>
    </w:p>
    <w:p>
      <w:pPr>
        <w:spacing w:after="0" w:line="197" w:lineRule="exact"/>
        <w:rPr>
          <w:rFonts w:ascii="Times New Roman" w:cs="Times New Roman" w:eastAsia="Times New Roman" w:hAnsi="Times New Roman"/>
          <w:sz w:val="18"/>
          <w:szCs w:val="18"/>
          <w:color w:val="auto"/>
        </w:rPr>
      </w:pPr>
    </w:p>
    <w:p>
      <w:pPr>
        <w:ind w:right="260" w:firstLine="436"/>
        <w:spacing w:after="0" w:line="231"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after the Initial Closing Date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94" w:lineRule="exact"/>
        <w:rPr>
          <w:rFonts w:ascii="Times New Roman" w:cs="Times New Roman" w:eastAsia="Times New Roman" w:hAnsi="Times New Roman"/>
          <w:sz w:val="18"/>
          <w:szCs w:val="18"/>
          <w:color w:val="auto"/>
        </w:rPr>
      </w:pPr>
    </w:p>
    <w:p>
      <w:pPr>
        <w:ind w:right="40" w:firstLine="436"/>
        <w:spacing w:after="0" w:line="286"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shall mean the date of the first Closing (as defined in the Securities Purchase Agreement) at which the Company issues and sells Notes to the Buyers pursuant to the Securities Purchase Agreement.</w:t>
      </w:r>
    </w:p>
    <w:p>
      <w:pPr>
        <w:spacing w:after="0" w:line="154" w:lineRule="exact"/>
        <w:rPr>
          <w:rFonts w:ascii="Times New Roman" w:cs="Times New Roman" w:eastAsia="Times New Roman" w:hAnsi="Times New Roman"/>
          <w:sz w:val="18"/>
          <w:szCs w:val="18"/>
          <w:color w:val="auto"/>
        </w:rPr>
      </w:pPr>
    </w:p>
    <w:p>
      <w:pPr>
        <w:ind w:right="80" w:firstLine="436"/>
        <w:spacing w:after="0" w:line="262" w:lineRule="auto"/>
        <w:tabs>
          <w:tab w:leader="none" w:pos="66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means a Buyer or any transferee or assignee of any Registrable Securities or Notes, as applicable, to whom a Buyer assigns its rights under this Agreement and who agrees to become bound by the provisions of this Agreement in accordance with Section 9 and any transferee or assignee thereof to whom a transferee or assignee of any Registrable Securities or Notes, as applicable, assigns its rights under this Agreement and who agrees to become bound by the provisions of this Agreement in accordance with Section 9.</w:t>
      </w:r>
    </w:p>
    <w:p>
      <w:pPr>
        <w:spacing w:after="0" w:line="176"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or a government or any department or agency thereof.</w:t>
      </w:r>
    </w:p>
    <w:p>
      <w:pPr>
        <w:spacing w:after="0" w:line="154" w:lineRule="exact"/>
        <w:rPr>
          <w:rFonts w:ascii="Times New Roman" w:cs="Times New Roman" w:eastAsia="Times New Roman" w:hAnsi="Times New Roman"/>
          <w:sz w:val="18"/>
          <w:szCs w:val="18"/>
          <w:color w:val="auto"/>
        </w:rPr>
      </w:pPr>
    </w:p>
    <w:p>
      <w:pPr>
        <w:ind w:right="360" w:firstLine="436"/>
        <w:spacing w:after="0" w:line="286"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in compliance with the 1933 Act and pursuant to Rule 415 and the declaration of effectiveness of such Registration Statement(s) by the SEC.</w:t>
      </w:r>
    </w:p>
    <w:p>
      <w:pPr>
        <w:spacing w:after="0" w:line="154" w:lineRule="exact"/>
        <w:rPr>
          <w:rFonts w:ascii="Times New Roman" w:cs="Times New Roman" w:eastAsia="Times New Roman" w:hAnsi="Times New Roman"/>
          <w:sz w:val="18"/>
          <w:szCs w:val="18"/>
          <w:color w:val="auto"/>
        </w:rPr>
      </w:pPr>
    </w:p>
    <w:p>
      <w:pPr>
        <w:ind w:right="320" w:firstLine="436"/>
        <w:spacing w:after="0" w:line="259"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Conversion Shares, and (ii) any capital stock of the Company issued or issuable with respect to the Conversion Shares or the Notes, including, without limitation, (1) as a result of any stock split, stock dividend, recapitalization, exchange or similar event or otherwise and (2) shares of capital stock of the Company into which the shares of Common Stock (as defined in the Notes) are converted or exchanged and shares of capital stock of a Successor Entity (as defined in the Notes) into which the shares of Common Stock are converted or exchanged, in each case, without regard to any limitations on conversion of the Notes.</w:t>
      </w:r>
    </w:p>
    <w:p>
      <w:pPr>
        <w:spacing w:after="0" w:line="179" w:lineRule="exact"/>
        <w:rPr>
          <w:rFonts w:ascii="Times New Roman" w:cs="Times New Roman" w:eastAsia="Times New Roman" w:hAnsi="Times New Roman"/>
          <w:sz w:val="18"/>
          <w:szCs w:val="18"/>
          <w:color w:val="auto"/>
        </w:rPr>
      </w:pPr>
    </w:p>
    <w:p>
      <w:pPr>
        <w:ind w:right="660" w:firstLine="436"/>
        <w:spacing w:after="0" w:line="286"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or registration statements of the Company filed under the 1933 Act covering Registrable Securities.</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shall have the meaning as set forth in the Securities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38" w:name="page139"/>
    <w:bookmarkEnd w:id="138"/>
    <w:p>
      <w:pPr>
        <w:ind w:left="4" w:firstLine="436"/>
        <w:spacing w:after="0" w:line="255" w:lineRule="auto"/>
        <w:tabs>
          <w:tab w:leader="none" w:pos="65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Required Registration Amount</w:t>
      </w:r>
      <w:r>
        <w:rPr>
          <w:rFonts w:ascii="Times New Roman" w:cs="Times New Roman" w:eastAsia="Times New Roman" w:hAnsi="Times New Roman"/>
          <w:sz w:val="18"/>
          <w:szCs w:val="18"/>
          <w:color w:val="auto"/>
        </w:rPr>
        <w:t>” means, as of any time of determination, 150% of the maximum number of Conversion Shares issuable upon conversion of the Notes (assuming for purposes hereof that (w) all Additional Notes (as defined in the Securities Purchase Agreement) issuable pursuant to the Securities Purchase Agreement shall have been issued at an Additional Closing (as defined in the Securities Purchase Agreement) on the Initial Closing Date, (x) the Notes are convertible at the Floor Price (as defined in the Notes) assuming an Conversion Date (as defined in the Notes) as of such time of determination, (y) interest on the Notes shall accrue through the twenty four (24) month anniversary of the Initial Closing Date and will be converted into shares of Common Stock at the Floor Price assuming a Conversion Date as of such time of determination, and (z) any such conversion shall not take into account any limitations on the conversion of the Notes set forth in the Notes, all subject to adjustment as provided in Section 2(d) and/or Section 2(f).</w:t>
      </w:r>
    </w:p>
    <w:p>
      <w:pPr>
        <w:spacing w:after="0" w:line="184" w:lineRule="exact"/>
        <w:rPr>
          <w:rFonts w:ascii="Times New Roman" w:cs="Times New Roman" w:eastAsia="Times New Roman" w:hAnsi="Times New Roman"/>
          <w:sz w:val="18"/>
          <w:szCs w:val="18"/>
          <w:color w:val="auto"/>
        </w:rPr>
      </w:pPr>
    </w:p>
    <w:p>
      <w:pPr>
        <w:jc w:val="both"/>
        <w:ind w:left="4" w:right="500" w:firstLine="436"/>
        <w:spacing w:after="0" w:line="268" w:lineRule="auto"/>
        <w:tabs>
          <w:tab w:leader="none" w:pos="74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spacing w:after="0" w:line="170" w:lineRule="exact"/>
        <w:rPr>
          <w:rFonts w:ascii="Times New Roman" w:cs="Times New Roman" w:eastAsia="Times New Roman" w:hAnsi="Times New Roman"/>
          <w:sz w:val="18"/>
          <w:szCs w:val="18"/>
          <w:color w:val="auto"/>
        </w:rPr>
      </w:pPr>
    </w:p>
    <w:p>
      <w:pPr>
        <w:ind w:left="4" w:firstLine="436"/>
        <w:spacing w:after="0" w:line="286" w:lineRule="auto"/>
        <w:tabs>
          <w:tab w:leader="none" w:pos="69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means Rule 415 promulgated by the SEC under the 1933 Act, as such rule may be amended from time to time, or any other similar or successor rule or regulation of the SEC providing for offering securities on a continuous or delayed basis.</w:t>
      </w:r>
    </w:p>
    <w:p>
      <w:pPr>
        <w:spacing w:after="0" w:line="15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p>
    <w:p>
      <w:pPr>
        <w:spacing w:after="0" w:line="22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prepare and, as soon as practicable, but in no event later than the Filing Deadline, file with the SEC an initial Registration Statement on Form S-3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provided further that if Form S-3 is unavailable for such a registration, the Company shall use such other form as is required by Section 2(c). Such initial Registration Statement, and each other Registration Statement required to be filed pursuant to the terms of this Agreement, shall contain (except if otherwise directed by the Required Holders)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sections in substantially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Company shall use its best efforts to have such initial Registration Statement, and each other Registration Statement required to be filed pursuant to the terms of this Agreement, declared effective by the SEC as soon as practicable, but in no event later than the applicable Effectiveness Deadline for such Registration Statement.</w:t>
      </w:r>
    </w:p>
    <w:p>
      <w:pPr>
        <w:spacing w:after="0" w:line="184" w:lineRule="exact"/>
        <w:rPr>
          <w:rFonts w:ascii="Times New Roman" w:cs="Times New Roman" w:eastAsia="Times New Roman" w:hAnsi="Times New Roman"/>
          <w:sz w:val="18"/>
          <w:szCs w:val="18"/>
          <w:color w:val="auto"/>
        </w:rPr>
      </w:pPr>
    </w:p>
    <w:p>
      <w:pPr>
        <w:ind w:left="4" w:right="280" w:firstLine="436"/>
        <w:spacing w:after="0" w:line="286" w:lineRule="auto"/>
        <w:tabs>
          <w:tab w:leader="none" w:pos="699"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Subject to Section 5 hereof, Kelley Drye &amp; Warren LLP, counsel solely to the lead investor (“</w:t>
      </w:r>
      <w:r>
        <w:rPr>
          <w:rFonts w:ascii="Times New Roman" w:cs="Times New Roman" w:eastAsia="Times New Roman" w:hAnsi="Times New Roman"/>
          <w:sz w:val="18"/>
          <w:szCs w:val="18"/>
          <w:b w:val="1"/>
          <w:bCs w:val="1"/>
          <w:color w:val="auto"/>
        </w:rPr>
        <w:t>Legal Counsel</w:t>
      </w:r>
      <w:r>
        <w:rPr>
          <w:rFonts w:ascii="Times New Roman" w:cs="Times New Roman" w:eastAsia="Times New Roman" w:hAnsi="Times New Roman"/>
          <w:sz w:val="18"/>
          <w:szCs w:val="18"/>
          <w:color w:val="auto"/>
        </w:rPr>
        <w:t>”) shall review and oversee any registration, solely on behalf of the lead investor, pursuant to this Section 2.</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39" w:name="page140"/>
    <w:bookmarkEnd w:id="139"/>
    <w:p>
      <w:pPr>
        <w:ind w:left="-20" w:right="80" w:firstLine="436"/>
        <w:spacing w:after="0" w:line="258" w:lineRule="auto"/>
        <w:tabs>
          <w:tab w:leader="none" w:pos="6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Ineligibility to Use Form S-3</w:t>
      </w:r>
      <w:r>
        <w:rPr>
          <w:rFonts w:ascii="Times New Roman" w:cs="Times New Roman" w:eastAsia="Times New Roman" w:hAnsi="Times New Roman"/>
          <w:sz w:val="18"/>
          <w:szCs w:val="18"/>
          <w:color w:val="auto"/>
        </w:rPr>
        <w:t>.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resale of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w:t>
      </w:r>
    </w:p>
    <w:p>
      <w:pPr>
        <w:spacing w:after="0" w:line="183"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(as defined in the Notes) immediately preceding the date of the filing of such amendment or new Registration Statement, in each case, as soon as practicable, but in any event not later than fifteen (15)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the number of shares of Common Stock available for resale under the applicable Registration Statement is less than the product determined by multiplying (i) the Required Registration Amount as of such time by (ii) 0.90. The calculation set forth in the foregoing sentence shall be made without regard to any limitations on conversion, amortization and/or redemption of the Notes (and such calculation shall assume (A) that the Notes are then convertible in full into shares of Common Stock at the then prevailing Conversion Rate (as defined in the Notes) and (B) the initial outstanding principal amount of the Notes remains outstanding through the scheduled Maturity Date (as defined in the Notes) and no redemptions of the Notes occur prior to the scheduled Maturity Date).</w:t>
      </w:r>
    </w:p>
    <w:p>
      <w:pPr>
        <w:spacing w:after="0" w:line="194" w:lineRule="exact"/>
        <w:rPr>
          <w:rFonts w:ascii="Times New Roman" w:cs="Times New Roman" w:eastAsia="Times New Roman" w:hAnsi="Times New Roman"/>
          <w:sz w:val="18"/>
          <w:szCs w:val="18"/>
          <w:color w:val="auto"/>
        </w:rPr>
      </w:pPr>
    </w:p>
    <w:p>
      <w:pPr>
        <w:ind w:left="-20" w:right="40" w:firstLine="436"/>
        <w:spacing w:after="0" w:line="255" w:lineRule="auto"/>
        <w:tabs>
          <w:tab w:leader="none" w:pos="6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Failure to File and Obtain and Maintain Effectiveness of any Registration Statement</w:t>
      </w:r>
      <w:r>
        <w:rPr>
          <w:rFonts w:ascii="Times New Roman" w:cs="Times New Roman" w:eastAsia="Times New Roman" w:hAnsi="Times New Roman"/>
          <w:sz w:val="18"/>
          <w:szCs w:val="18"/>
          <w:color w:val="auto"/>
        </w:rPr>
        <w:t>. If (i) a Registration Statement covering the resale of all of the Registrable Securities required to be covered thereby (disregarding any reduction pursuant to Section 2(f)) and required to be filed by the Company pursuant to this Agreement is (A) not filed with the SEC on or before the Filing Deadline for such Registration Statement (a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(it being understood that if the Company files a Registration Statement without affording each Investor and Legal Counsel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and comment on the same as required by Section 3(c) hereof, the Company shall be deemed to not have satisfied this clause (i)(A) and such event shall be deemed to be a Filing Failure) or (B) not declared effective by the SEC on or before the Effectiveness Deadline for such Registration Statement (an “</w:t>
      </w:r>
      <w:r>
        <w:rPr>
          <w:rFonts w:ascii="Times New Roman" w:cs="Times New Roman" w:eastAsia="Times New Roman" w:hAnsi="Times New Roman"/>
          <w:sz w:val="18"/>
          <w:szCs w:val="18"/>
          <w:b w:val="1"/>
          <w:bCs w:val="1"/>
          <w:color w:val="auto"/>
        </w:rPr>
        <w:t>Effectiveness Failure</w:t>
      </w:r>
      <w:r>
        <w:rPr>
          <w:rFonts w:ascii="Times New Roman" w:cs="Times New Roman" w:eastAsia="Times New Roman" w:hAnsi="Times New Roman"/>
          <w:sz w:val="18"/>
          <w:szCs w:val="18"/>
          <w:color w:val="auto"/>
        </w:rPr>
        <w:t>”) (it being understood that if on the Business Day immediately following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Date for such Registration Statement the Company shall not have filed a “final” prospectus for such Registration Statement with the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Rule 424(b) in accordance with Section 3(b) (whether or not such a prospectus is technically required by such rule), the Company shall be deemed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not have satisfied this clause (i)(B) and such event shall be deemed to be an Effectiveness Failure), (ii) other than during an Allowable Grace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below), on any day after the Effective Date of a Registration Statement sales of all of the Registrable Securities required to be included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Registration Statement (disregarding any reduction pursuant to Section 2(f)) cannot be made pursuant to such Registration Statement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without limitation, because of a failure to keep such Registration Statement effective, a failure to disclose such information as is necessary for sales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pursuant to such Registration Statement, a suspension or delisting of (or a failure to timely list) the shares of Common Stock on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(as defined in the Securities Purchase Agreement) or any other limitations imposed by the Principal Market, or a failure to register a sufficient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or by reason of a stop order) or the prospectus contained therein is not available for use for any reason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Maintenance Failure</w:t>
      </w:r>
      <w:r>
        <w:rPr>
          <w:rFonts w:ascii="Times New Roman" w:cs="Times New Roman" w:eastAsia="Times New Roman" w:hAnsi="Times New Roman"/>
          <w:sz w:val="18"/>
          <w:szCs w:val="18"/>
          <w:color w:val="auto"/>
        </w:rPr>
        <w:t>”), or (iii) if a Registration Statement is not effective for any reason or the prospectus contained therein is not available for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reason, and either (x) the Company fails for any reason to satisfy the requirements of Rule 144(c)(1), including, without limitation, the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 the current public information requirement under Rule 144(c) or (y) the Company has ever been an issuer described in Rule 144(i)(1)(i)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such an issuer in the future, and the Company shall fail to satisfy any condition set forth in Rule 144(i)(2) (a “</w:t>
      </w:r>
      <w:r>
        <w:rPr>
          <w:rFonts w:ascii="Times New Roman" w:cs="Times New Roman" w:eastAsia="Times New Roman" w:hAnsi="Times New Roman"/>
          <w:sz w:val="18"/>
          <w:szCs w:val="18"/>
          <w:b w:val="1"/>
          <w:bCs w:val="1"/>
          <w:color w:val="auto"/>
        </w:rPr>
        <w:t>Current Public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as a result of which any of the Investors are unable to sell Registrable Securities without restriction under Rule 144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volume restrictions), then, as partial relief for the damages to any holder by reason of any such delay in, or reduction of, its ability to sell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shares of Common Stock (which remedy shall not be exclusive of any other remedies available at law or in equity,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specific performance), the Company shall pay to each holder of Registrable Securities relating to such Registration Statement an amount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equal to two percent (2%) of such Investor’s original principal amount stated in such Investor’s Note on the Initial Closing Date (1)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Filing Failure, Effectiveness Failure, Maintenance Failure or Current Public Information Failure, as applicable, and (2) on every thirty (30)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(I) a Filing Failure until such Filing Failure is cured; (II) an Effectiveness Failure until such Effectiveness Failure is cured; (III)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Failure until such Maintenance Failure is cured; and (IV) a Current Public Information Failure until the earlier of (i) the date such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Information Failure is cured and (ii) such time that such public information is no longer required pursuant to Rule 144 (in each case, prorated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totaling less than thirty (30) days). The payments to which a holder of Registrable Securities shall be entitled pursuant to this Section 2(e)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herein as “</w:t>
      </w:r>
      <w:r>
        <w:rPr>
          <w:rFonts w:ascii="Times New Roman" w:cs="Times New Roman" w:eastAsia="Times New Roman" w:hAnsi="Times New Roman"/>
          <w:sz w:val="18"/>
          <w:szCs w:val="18"/>
          <w:b w:val="1"/>
          <w:bCs w:val="1"/>
          <w:color w:val="auto"/>
        </w:rPr>
        <w:t>Registration Delay Payments</w:t>
      </w:r>
      <w:r>
        <w:rPr>
          <w:rFonts w:ascii="Times New Roman" w:cs="Times New Roman" w:eastAsia="Times New Roman" w:hAnsi="Times New Roman"/>
          <w:sz w:val="18"/>
          <w:szCs w:val="18"/>
          <w:color w:val="auto"/>
        </w:rPr>
        <w:t>.” Following the initial Registration Delay Payment for any particular event or failure (which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paid on the date of such event or failure, as set forth above), without limiting the foregoing, if an event or failure giving rise to the Registration Delay</w:t>
      </w:r>
    </w:p>
    <w:p>
      <w:pPr>
        <w:spacing w:after="0" w:line="189" w:lineRule="auto"/>
        <w:rPr>
          <w:sz w:val="20"/>
          <w:szCs w:val="20"/>
          <w:color w:val="auto"/>
        </w:rPr>
      </w:pPr>
      <w:r>
        <w:rPr>
          <w:rFonts w:ascii="Times New Roman" w:cs="Times New Roman" w:eastAsia="Times New Roman" w:hAnsi="Times New Roman"/>
          <w:sz w:val="17"/>
          <w:szCs w:val="17"/>
          <w:color w:val="auto"/>
        </w:rPr>
        <w:t>Payments is cured prior to any thirty (30) day anniversary of such event or failure, then such Registration Delay Payment shall be made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Business Day after such cure. In the event the Company fails to make Registration Delay Payments in a timely manner in accordance with the foregoing,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Registration Delay Payments shall bear interest at the rate of two percent (2%) per month (prorated for partial months) until paid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no Registration Delay Payments shall be owed to an Investor (other than with respect to 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1" w:name="page142"/>
    <w:bookmarkEnd w:id="141"/>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Maintenance Failure resulting from a suspension or delisting of (or a failure to timely list) the shares of Common Stock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spacing w:after="0" w:line="180" w:lineRule="exact"/>
        <w:rPr>
          <w:sz w:val="20"/>
          <w:szCs w:val="20"/>
          <w:color w:val="auto"/>
        </w:rPr>
      </w:pPr>
    </w:p>
    <w:p>
      <w:pPr>
        <w:ind w:left="4" w:firstLine="436"/>
        <w:spacing w:after="0" w:line="272" w:lineRule="auto"/>
        <w:tabs>
          <w:tab w:leader="none" w:pos="669"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Notwithstanding anything to the contrary contained in this Agreement, but subject to the payment of the Registration Delay Payments pursuant to Section 2(e), in the event the staff of the SEC (the “</w:t>
      </w:r>
      <w:r>
        <w:rPr>
          <w:rFonts w:ascii="Times New Roman" w:cs="Times New Roman" w:eastAsia="Times New Roman" w:hAnsi="Times New Roman"/>
          <w:sz w:val="17"/>
          <w:szCs w:val="17"/>
          <w:b w:val="1"/>
          <w:bCs w:val="1"/>
          <w:color w:val="auto"/>
        </w:rPr>
        <w:t>Staff</w:t>
      </w:r>
      <w:r>
        <w:rPr>
          <w:rFonts w:ascii="Times New Roman" w:cs="Times New Roman" w:eastAsia="Times New Roman" w:hAnsi="Times New Roman"/>
          <w:sz w:val="17"/>
          <w:szCs w:val="17"/>
          <w:color w:val="auto"/>
        </w:rPr>
        <w:t>”) or the SEC seeks to characterize any offering pursuant to a Registration Statement filed pursuant to this Agreement as constituting an offering of securities by, or on behalf of, the Company, or in any other manner, such</w:t>
      </w:r>
    </w:p>
    <w:p>
      <w:pPr>
        <w:spacing w:after="0" w:line="1" w:lineRule="exact"/>
        <w:rPr>
          <w:rFonts w:ascii="Times New Roman" w:cs="Times New Roman" w:eastAsia="Times New Roman" w:hAnsi="Times New Roman"/>
          <w:sz w:val="17"/>
          <w:szCs w:val="17"/>
          <w:color w:val="auto"/>
        </w:rPr>
      </w:pPr>
    </w:p>
    <w:p>
      <w:pPr>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w:t>
      </w:r>
    </w:p>
    <w:p>
      <w:pPr>
        <w:spacing w:after="0" w:line="6" w:lineRule="exact"/>
        <w:rPr>
          <w:rFonts w:ascii="Times New Roman" w:cs="Times New Roman" w:eastAsia="Times New Roman" w:hAnsi="Times New Roman"/>
          <w:sz w:val="17"/>
          <w:szCs w:val="17"/>
          <w:color w:val="auto"/>
        </w:rPr>
      </w:pPr>
    </w:p>
    <w:p>
      <w:pPr>
        <w:ind w:left="4" w:hanging="4"/>
        <w:spacing w:after="0" w:line="252" w:lineRule="auto"/>
        <w:tabs>
          <w:tab w:leader="none" w:pos="34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42" w:name="page143"/>
    <w:bookmarkEnd w:id="14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spacing w:after="0" w:line="183" w:lineRule="exact"/>
        <w:rPr>
          <w:sz w:val="20"/>
          <w:szCs w:val="20"/>
          <w:color w:val="auto"/>
        </w:rPr>
      </w:pPr>
    </w:p>
    <w:p>
      <w:pPr>
        <w:ind w:firstLine="436"/>
        <w:spacing w:after="0" w:line="253"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offering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Investor a written notice of such determination and, if within fifteen (15)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w:t>
      </w:r>
    </w:p>
    <w:p>
      <w:pPr>
        <w:spacing w:after="0" w:line="191"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Registrable Securities</w:t>
      </w:r>
      <w:r>
        <w:rPr>
          <w:rFonts w:ascii="Times New Roman" w:cs="Times New Roman" w:eastAsia="Times New Roman" w:hAnsi="Times New Roman"/>
          <w:sz w:val="18"/>
          <w:szCs w:val="18"/>
          <w:color w:val="auto"/>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Inclusion of Other Securities</w:t>
      </w:r>
      <w:r>
        <w:rPr>
          <w:rFonts w:ascii="Times New Roman" w:cs="Times New Roman" w:eastAsia="Times New Roman" w:hAnsi="Times New Roman"/>
          <w:sz w:val="18"/>
          <w:szCs w:val="18"/>
          <w:color w:val="auto"/>
        </w:rPr>
        <w:t>. The Company shall in no event include any securities other than Registrable Securities on any Registration Statement filed in accordance herewith without the prior written consent of the Required Holders. Until the Applicable Date (as defined in the Securities Purchase Agreement), the Company shall not enter into any agreement providing any registration rights to any of its security holders, except as otherwise permitted under the Securities Purchase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43" w:name="page144"/>
    <w:bookmarkEnd w:id="143"/>
    <w:p>
      <w:pPr>
        <w:ind w:left="184" w:hanging="184"/>
        <w:spacing w:after="0"/>
        <w:tabs>
          <w:tab w:leader="none" w:pos="18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Obligations.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 shall use its best efforts to effect the registration of the Registrable Securities in accordance with the intended method of disposition thereof, and, pursuant thereto, the Company shall have the following obligations:</w:t>
      </w:r>
    </w:p>
    <w:p>
      <w:pPr>
        <w:spacing w:after="0" w:line="54" w:lineRule="exact"/>
        <w:rPr>
          <w:sz w:val="20"/>
          <w:szCs w:val="20"/>
          <w:color w:val="auto"/>
        </w:rPr>
      </w:pPr>
    </w:p>
    <w:p>
      <w:pPr>
        <w:ind w:left="4" w:firstLine="436"/>
        <w:spacing w:after="0" w:line="267" w:lineRule="auto"/>
        <w:tabs>
          <w:tab w:leader="none" w:pos="689"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Registration Statement (the “</w:t>
      </w:r>
      <w:r>
        <w:rPr>
          <w:rFonts w:ascii="Times New Roman" w:cs="Times New Roman" w:eastAsia="Times New Roman" w:hAnsi="Times New Roman"/>
          <w:sz w:val="17"/>
          <w:szCs w:val="17"/>
          <w:b w:val="1"/>
          <w:bCs w:val="1"/>
          <w:color w:val="auto"/>
        </w:rPr>
        <w:t>Registration Period</w:t>
      </w:r>
      <w:r>
        <w:rPr>
          <w:rFonts w:ascii="Times New Roman" w:cs="Times New Roman" w:eastAsia="Times New Roman" w:hAnsi="Times New Roman"/>
          <w:sz w:val="17"/>
          <w:szCs w:val="17"/>
          <w:color w:val="auto"/>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fifteen (15) days after the receipt of comments by or notice from the SEC that an amendment is required in order for a Registration Statement to be declared effective.</w:t>
      </w: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ind w:left="4" w:right="160" w:firstLine="436"/>
        <w:spacing w:after="0" w:line="256" w:lineRule="auto"/>
        <w:tabs>
          <w:tab w:leader="none" w:pos="69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44" w:name="page145"/>
    <w:bookmarkEnd w:id="144"/>
    <w:p>
      <w:pPr>
        <w:ind w:left="4"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8-K, Form 10-Q or Form 10-K or any analogous report under the Securities Exchange Act of 1934, as amended (the “</w:t>
      </w:r>
      <w:r>
        <w:rPr>
          <w:rFonts w:ascii="Times New Roman" w:cs="Times New Roman" w:eastAsia="Times New Roman" w:hAnsi="Times New Roman"/>
          <w:sz w:val="17"/>
          <w:szCs w:val="17"/>
          <w:b w:val="1"/>
          <w:bCs w:val="1"/>
          <w:color w:val="auto"/>
        </w:rPr>
        <w:t>1934 Act</w:t>
      </w:r>
      <w:r>
        <w:rPr>
          <w:rFonts w:ascii="Times New Roman" w:cs="Times New Roman" w:eastAsia="Times New Roman" w:hAnsi="Times New Roman"/>
          <w:sz w:val="17"/>
          <w:szCs w:val="17"/>
          <w:color w:val="auto"/>
        </w:rPr>
        <w:t>”),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173" w:lineRule="exact"/>
        <w:rPr>
          <w:sz w:val="20"/>
          <w:szCs w:val="20"/>
          <w:color w:val="auto"/>
        </w:rPr>
      </w:pPr>
    </w:p>
    <w:p>
      <w:pPr>
        <w:ind w:left="4" w:right="60" w:firstLine="436"/>
        <w:spacing w:after="0" w:line="252" w:lineRule="auto"/>
        <w:tabs>
          <w:tab w:leader="none" w:pos="68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permit Legal Counsel and legal counsel for each other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other Investor,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(ii) after the same is prepared and filed with the SEC, one (1) copy of each Registration Statement and any amendment(s) and supplement(s) thereto, including, without limitation, financial statements and schedules, all documents incorporated therein by reference, if requested by an Investor, and all exhibits and</w:t>
      </w:r>
    </w:p>
    <w:p>
      <w:pPr>
        <w:spacing w:after="0" w:line="2" w:lineRule="exact"/>
        <w:rPr>
          <w:rFonts w:ascii="Times New Roman" w:cs="Times New Roman" w:eastAsia="Times New Roman" w:hAnsi="Times New Roman"/>
          <w:sz w:val="18"/>
          <w:szCs w:val="18"/>
          <w:color w:val="auto"/>
        </w:rPr>
      </w:pPr>
    </w:p>
    <w:p>
      <w:pPr>
        <w:ind w:left="4" w:right="160" w:hanging="4"/>
        <w:spacing w:after="0" w:line="255" w:lineRule="auto"/>
        <w:tabs>
          <w:tab w:leader="none" w:pos="31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each Registration Statement, one (1) copy of the prospectus included in such Registration Statement and all amendments and supplements thereto. The Company shall reasonably cooperate with Legal Counsel and legal counsel for each other Investor in performing the Company’s obligations pursuant to this Section 3.</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promptly furnish to each Investor whose Registrable Securities are included in any Registration Statement, without charge,</w:t>
      </w:r>
    </w:p>
    <w:p>
      <w:pPr>
        <w:spacing w:after="0" w:line="38" w:lineRule="exact"/>
        <w:rPr>
          <w:rFonts w:ascii="Times New Roman" w:cs="Times New Roman" w:eastAsia="Times New Roman" w:hAnsi="Times New Roman"/>
          <w:sz w:val="17"/>
          <w:szCs w:val="17"/>
          <w:color w:val="auto"/>
        </w:rPr>
      </w:pPr>
    </w:p>
    <w:p>
      <w:pPr>
        <w:ind w:left="4" w:right="20" w:hanging="4"/>
        <w:spacing w:after="0" w:line="252" w:lineRule="auto"/>
        <w:tabs>
          <w:tab w:leader="none" w:pos="21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same is prepared and filed with the SEC, at least one (1) copy of each Registration Statement and any amendment(s) and supplement(s) thereto, including, without limitation, financial statements and schedules, all documents incorporated therein by reference, if requested by an Investor, all exhibits and each preliminary prospectus, (ii) upon the effectiveness of each Registration Statement, ten (10) copies of the prospectus included in such Registration Statement and all amendments and supplements thereto (or such other number of copies as such Investor may reasonably request from time to time) and (iii) such other documents, including, without limitation, copies of any preliminary or final prospectus, as such Investor may reasonably request from time to time in order to facilitate the disposition of the Registrable Securities owned by such Investor.</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45" w:name="page146"/>
    <w:bookmarkEnd w:id="145"/>
    <w:p>
      <w:pPr>
        <w:ind w:left="-20" w:firstLine="436"/>
        <w:spacing w:after="0" w:line="253" w:lineRule="auto"/>
        <w:tabs>
          <w:tab w:leader="none" w:pos="66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89" w:lineRule="exact"/>
        <w:rPr>
          <w:rFonts w:ascii="Times New Roman" w:cs="Times New Roman" w:eastAsia="Times New Roman" w:hAnsi="Times New Roman"/>
          <w:sz w:val="18"/>
          <w:szCs w:val="18"/>
          <w:color w:val="auto"/>
        </w:rPr>
      </w:pPr>
    </w:p>
    <w:p>
      <w:pPr>
        <w:ind w:left="-20" w:right="60" w:firstLine="436"/>
        <w:spacing w:after="0" w:line="252" w:lineRule="auto"/>
        <w:tabs>
          <w:tab w:leader="none" w:pos="64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and deliver ten (10) copies of such supplement or amendment to Legal Counsel, legal counsel for each other Investor and each Investor (or such other number of copies as Legal Counsel, legal counsel for each other Investor or such Investor may reasonably request). The Company shall also promptly notify Legal Counsel, legal counsel for each other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other Investor and each Investor by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70" w:right="459" w:bottom="1440" w:gutter="0" w:footer="0" w:header="0"/>
        </w:sectPr>
      </w:pPr>
    </w:p>
    <w:bookmarkStart w:id="146" w:name="page147"/>
    <w:bookmarkEnd w:id="146"/>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fifteen (15) Business Days after the receipt thereof).</w:t>
      </w:r>
    </w:p>
    <w:p>
      <w:pPr>
        <w:spacing w:after="0" w:line="183" w:lineRule="exact"/>
        <w:rPr>
          <w:sz w:val="20"/>
          <w:szCs w:val="20"/>
          <w:color w:val="auto"/>
        </w:rPr>
      </w:pPr>
    </w:p>
    <w:p>
      <w:pPr>
        <w:ind w:left="4" w:firstLine="436"/>
        <w:spacing w:after="0" w:line="258" w:lineRule="auto"/>
        <w:tabs>
          <w:tab w:leader="none" w:pos="69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spacing w:after="0" w:line="183"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9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188" w:lineRule="exact"/>
        <w:rPr>
          <w:rFonts w:ascii="Times New Roman" w:cs="Times New Roman" w:eastAsia="Times New Roman" w:hAnsi="Times New Roman"/>
          <w:sz w:val="18"/>
          <w:szCs w:val="18"/>
          <w:color w:val="auto"/>
        </w:rPr>
      </w:pPr>
    </w:p>
    <w:p>
      <w:pPr>
        <w:ind w:left="4" w:right="420" w:firstLine="436"/>
        <w:spacing w:after="0" w:line="276" w:lineRule="auto"/>
        <w:tabs>
          <w:tab w:leader="none" w:pos="659"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w:t>
      </w:r>
    </w:p>
    <w:p>
      <w:pPr>
        <w:ind w:left="224" w:hanging="224"/>
        <w:spacing w:after="0"/>
        <w:tabs>
          <w:tab w:leader="none" w:pos="2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(ii) legal counsel for such Investor and (iii) one (1) firm of accountants or other agents retained by such Investor (collectively, the</w:t>
      </w:r>
    </w:p>
    <w:p>
      <w:pPr>
        <w:spacing w:after="0" w:line="9"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all pertinent financial and other records, and pertinent corporate documents and properties of the Company (collectively, the “</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as shall be reasonably deemed necessary by each Inspector,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(as defined in the Securities Purchase Agreement). Such Investor agrees that it shall, upon learning that disclosure of such Records is sought in or by a</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47" w:name="page148"/>
    <w:bookmarkEnd w:id="14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spacing w:after="0" w:line="180" w:lineRule="exact"/>
        <w:rPr>
          <w:sz w:val="20"/>
          <w:szCs w:val="20"/>
          <w:color w:val="auto"/>
        </w:rPr>
      </w:pPr>
    </w:p>
    <w:p>
      <w:pPr>
        <w:ind w:left="664" w:hanging="224"/>
        <w:spacing w:after="0"/>
        <w:tabs>
          <w:tab w:leader="none" w:pos="664"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in confidence and not make any disclosure of information concerning an Investor provided to the Company unless</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spacing w:after="0" w:line="19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obligation of the Company under the Securities Purchase Agreement, the Company shall use its best efforts either to</w:t>
      </w:r>
    </w:p>
    <w:p>
      <w:pPr>
        <w:spacing w:after="0" w:line="27" w:lineRule="exact"/>
        <w:rPr>
          <w:sz w:val="20"/>
          <w:szCs w:val="20"/>
          <w:color w:val="auto"/>
        </w:rPr>
      </w:pPr>
    </w:p>
    <w:p>
      <w:pPr>
        <w:ind w:left="4" w:right="20" w:hanging="4"/>
        <w:spacing w:after="0" w:line="251" w:lineRule="auto"/>
        <w:tabs>
          <w:tab w:leader="none" w:pos="21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(ii) secure designation and quotation of all of the Registrable Securities covered by each Registration Statement on an Eligible Market (as defined in the Securities Purchase Agreement), or (iii) if, despite the Company’s best efforts to satisfy the preceding clauses (i) or (ii) the Company is unsuccessful in satisfying the preceding clauses (i) or (ii), without limiting the generality of the foregoing, to use its best efforts to arrange for at least two market makers to register with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w:t>
      </w:r>
    </w:p>
    <w:p>
      <w:pPr>
        <w:spacing w:after="0" w:line="193"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5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48" w:name="page149"/>
    <w:bookmarkEnd w:id="148"/>
    <w:p>
      <w:pPr>
        <w:ind w:left="4" w:firstLine="436"/>
        <w:spacing w:after="0" w:line="255" w:lineRule="auto"/>
        <w:tabs>
          <w:tab w:leader="none" w:pos="74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spacing w:after="0" w:line="188" w:lineRule="exact"/>
        <w:rPr>
          <w:rFonts w:ascii="Times New Roman" w:cs="Times New Roman" w:eastAsia="Times New Roman" w:hAnsi="Times New Roman"/>
          <w:sz w:val="18"/>
          <w:szCs w:val="18"/>
          <w:color w:val="auto"/>
        </w:rPr>
      </w:pPr>
    </w:p>
    <w:p>
      <w:pPr>
        <w:jc w:val="both"/>
        <w:ind w:left="4" w:right="640" w:firstLine="436"/>
        <w:spacing w:after="0" w:line="312" w:lineRule="auto"/>
        <w:tabs>
          <w:tab w:leader="none" w:pos="699"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its best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39" w:lineRule="exact"/>
        <w:rPr>
          <w:rFonts w:ascii="Times New Roman" w:cs="Times New Roman" w:eastAsia="Times New Roman" w:hAnsi="Times New Roman"/>
          <w:sz w:val="17"/>
          <w:szCs w:val="17"/>
          <w:color w:val="auto"/>
        </w:rPr>
      </w:pPr>
    </w:p>
    <w:p>
      <w:pPr>
        <w:jc w:val="both"/>
        <w:ind w:left="4" w:right="120" w:firstLine="436"/>
        <w:spacing w:after="0" w:line="261" w:lineRule="auto"/>
        <w:tabs>
          <w:tab w:leader="none" w:pos="69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generally available 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 Date of each Registration Statement.</w:t>
      </w:r>
    </w:p>
    <w:p>
      <w:pPr>
        <w:spacing w:after="0" w:line="179"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9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best efforts to comply with all applicable rules and regulations of the SEC in connection with any registration hereunder.</w:t>
      </w:r>
    </w:p>
    <w:p>
      <w:pPr>
        <w:spacing w:after="0" w:line="16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one (1) Business Day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669"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(but subject to the last sentence of this Section 3(r)),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 w:cs="Times New Roman" w:eastAsia="Times New Roman" w:hAnsi="Times New Roman"/>
          <w:sz w:val="17"/>
          <w:szCs w:val="17"/>
          <w:b w:val="1"/>
          <w:bCs w:val="1"/>
          <w:color w:val="auto"/>
        </w:rPr>
        <w:t>Grace Period</w:t>
      </w:r>
      <w:r>
        <w:rPr>
          <w:rFonts w:ascii="Times New Roman" w:cs="Times New Roman" w:eastAsia="Times New Roman" w:hAnsi="Times New Roman"/>
          <w:sz w:val="17"/>
          <w:szCs w:val="17"/>
          <w:color w:val="auto"/>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w:t>
      </w:r>
    </w:p>
    <w:p>
      <w:pPr>
        <w:spacing w:after="0" w:line="4"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6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 Date of such</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49" w:name="page150"/>
    <w:bookmarkEnd w:id="149"/>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 w:cs="Times New Roman" w:eastAsia="Times New Roman" w:hAnsi="Times New Roman"/>
          <w:sz w:val="17"/>
          <w:szCs w:val="17"/>
          <w:b w:val="1"/>
          <w:bCs w:val="1"/>
          <w:color w:val="auto"/>
        </w:rPr>
        <w:t>Allowable Grace Period</w:t>
      </w:r>
      <w:r>
        <w:rPr>
          <w:rFonts w:ascii="Times New Roman" w:cs="Times New Roman" w:eastAsia="Times New Roman" w:hAnsi="Times New Roman"/>
          <w:sz w:val="17"/>
          <w:szCs w:val="17"/>
          <w:color w:val="auto"/>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spacing w:after="0" w:line="182" w:lineRule="exact"/>
        <w:rPr>
          <w:sz w:val="20"/>
          <w:szCs w:val="20"/>
          <w:color w:val="auto"/>
        </w:rPr>
      </w:pPr>
    </w:p>
    <w:p>
      <w:pPr>
        <w:ind w:left="4" w:right="560" w:firstLine="436"/>
        <w:spacing w:after="0" w:line="282" w:lineRule="auto"/>
        <w:tabs>
          <w:tab w:leader="none" w:pos="67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other reasonable actions necessary to expedite and facilitate disposition by each Investors of its Registrable Securities pursuant to each Registration Statement.</w:t>
      </w:r>
    </w:p>
    <w:p>
      <w:pPr>
        <w:spacing w:after="0" w:line="161"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5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or affiliate thereof shall identify any Investor as an underwriter in any public disclosure or filing with the SEC, the Principal Market or any Eligible Market and any Buyer being deemed an underwriter by the SEC shall not relieve the Company of any obligations it has under this Agreement or any other Transaction Document (as defined in the Securities Purchase Agreement); provided, however, that the foregoing shall not prohibit the Company from including the disclosure found in the “Plan of Distribution” section attached hereto as Exhibit B in the Registration Statement.</w:t>
      </w:r>
    </w:p>
    <w:p>
      <w:pPr>
        <w:spacing w:after="0" w:line="183"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Investors.</w:t>
      </w:r>
    </w:p>
    <w:p>
      <w:pPr>
        <w:spacing w:after="0" w:line="225"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8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150" w:name="page151"/>
    <w:bookmarkEnd w:id="150"/>
    <w:p>
      <w:pPr>
        <w:jc w:val="both"/>
        <w:ind w:left="4" w:right="160" w:firstLine="436"/>
        <w:spacing w:after="0" w:line="266" w:lineRule="auto"/>
        <w:tabs>
          <w:tab w:leader="none" w:pos="69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that, upon receipt of any notice from the Company of the happening of any event of the kind described in Section 3(g) or the first sentence of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spacing w:after="0" w:line="19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p>
    <w:p>
      <w:pPr>
        <w:spacing w:after="0" w:line="22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The Company shall reimburse Legal Counsel for its fees and disbursements in connection with registration, filing or qualification pursuant to Sections 2 and 3 of this Agreement which amount shall be limited to $10,000 for each such registration, filing or qualification.</w:t>
      </w:r>
    </w:p>
    <w:p>
      <w:pPr>
        <w:spacing w:after="0" w:line="183" w:lineRule="exact"/>
        <w:rPr>
          <w:sz w:val="20"/>
          <w:szCs w:val="20"/>
          <w:color w:val="auto"/>
        </w:rPr>
      </w:pPr>
    </w:p>
    <w:p>
      <w:pPr>
        <w:ind w:left="184" w:hanging="184"/>
        <w:spacing w:after="0"/>
        <w:tabs>
          <w:tab w:leader="none" w:pos="18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8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and each of its directors, officers, stockholders,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stockholders,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obligations, claims, damages, liabilities, contingencies, judgments, fines, penalties, charges, costs (including, without limitation, court costs, reasonable attorneys’ fees and costs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defense and investigation), amounts paid in settlement or expenses, joint or several,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incurred in investigating, preparing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defending any action, claim, suit, inquiry, proceeding, investigation or appeal taken from the foregoing by or before any court or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or other regulatory agency, body or the SEC, whether pending or threatened, whether or not an Indemnified Person is or may be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thereto (“</w:t>
      </w:r>
      <w:r>
        <w:rPr>
          <w:rFonts w:ascii="Times New Roman" w:cs="Times New Roman" w:eastAsia="Times New Roman" w:hAnsi="Times New Roman"/>
          <w:sz w:val="17"/>
          <w:szCs w:val="17"/>
          <w:b w:val="1"/>
          <w:bCs w:val="1"/>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in respect thereof) arise out of or are based upon: (i) any untrue statement or alleged untrue statement of a material fact in a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or any post-effective amendment thereto or in any filing made in connection with the qualification of the offering under the securities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sky” laws of any jurisdiction in which Registrable Securities are offered (“</w:t>
      </w:r>
      <w:r>
        <w:rPr>
          <w:rFonts w:ascii="Times New Roman" w:cs="Times New Roman" w:eastAsia="Times New Roman" w:hAnsi="Times New Roman"/>
          <w:sz w:val="18"/>
          <w:szCs w:val="18"/>
          <w:b w:val="1"/>
          <w:bCs w:val="1"/>
          <w:color w:val="auto"/>
        </w:rPr>
        <w:t>Blue Sky Filing</w:t>
      </w:r>
      <w:r>
        <w:rPr>
          <w:rFonts w:ascii="Times New Roman" w:cs="Times New Roman" w:eastAsia="Times New Roman" w:hAnsi="Times New Roman"/>
          <w:sz w:val="18"/>
          <w:szCs w:val="18"/>
          <w:color w:val="auto"/>
        </w:rPr>
        <w:t>”), or the omission or alleged omission to state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fact required to be stated therein or necessary to make the statements therein not misleading, (ii) any untrue statement or alleged untrue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a material fact contained in any preliminary prospectus if used prior to the effective date of such Registration Statement, or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prospectus (as amended or supplemented, if the Company files any amendment thereof or supplement thereto with the SEC) or the omission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alleged omission to state therein any material fact necessary to make the statements made therein, in light of the circumstances under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therein were made, not misleading or (iii) any violation or alleged violation by the Company of the 1933 Act, the 1934 Act, any other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any state securities law, or any rule or regulation thereunder relating to the offer or sale of the Registrable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 Registration Statement or (iv) any violation of this Agreement (the matters in the foregoing clauses (i) through (iv) being,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Subject to Section 6(c), the Company shall reimburse the Indemnified Persons, promptly as such expenses are incurred and are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for any legal fees or other reasonable expenses incurred by them in connection with investigating or defending any such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the indemnification agreement contained in this Section 6(a): (i) shall not apply to a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Indemnified Person arising out of or based upon a Violation which occurs in reliance upon and in conformity with information furnished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to the Company by such Indemnified Person for such Indemnified Person expressly for use in connection with the preparation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or any such amendment thereof or supplement thereto, if such prospectus was timely made available by the Company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3(d); and (ii) shall not apply to amounts paid in settlement of any Claim if such settlement is effected without the prior written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which consent shall not be unreasonably withheld or delayed. Such indemnity shall remain in full force and effect regardless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made by or on behalf of the Indemnified Person and shall survive the transfer of any of the Registrable Securities by any of the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w:t>
      </w:r>
    </w:p>
    <w:p>
      <w:pPr>
        <w:spacing w:after="0" w:line="207" w:lineRule="exact"/>
        <w:rPr>
          <w:sz w:val="20"/>
          <w:szCs w:val="20"/>
          <w:color w:val="auto"/>
        </w:rPr>
      </w:pPr>
    </w:p>
    <w:p>
      <w:pPr>
        <w:ind w:left="700" w:hanging="264"/>
        <w:spacing w:after="0"/>
        <w:tabs>
          <w:tab w:leader="none" w:pos="7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an Investor is participating, such Investor agrees to severally and not jointly</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152" w:name="page153"/>
    <w:bookmarkEnd w:id="152"/>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furnished to the Company by such Investor expressly for use in connection with such Registration Statement; and, subject to Section 6(c) and the below provisos in this Section 6(b), such Investor will reimburse an Indemnified Party any legal or other expenses reasonably incurred by such Indemnified Party in connection with investigating or defending any such Claim; provided, however,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that such Investor shall be liable under this Section 6(b) for only that amount of a Claim or Indemnified Damages as does not exceed the net proceeds to such Investor as a result of the applicable sale of Registrable Securities pursuant to such Registration Statement. Such indemnity shall remain in full force and effect regardless of any investigation made by or on behalf of such Indemnified Party and shall survive the transfer of any of the Registrable Securities by any of the Investors pursuant to Section 9.</w:t>
      </w:r>
    </w:p>
    <w:p>
      <w:pPr>
        <w:spacing w:after="0" w:line="188" w:lineRule="exact"/>
        <w:rPr>
          <w:sz w:val="20"/>
          <w:szCs w:val="20"/>
          <w:color w:val="auto"/>
        </w:rPr>
      </w:pPr>
    </w:p>
    <w:p>
      <w:pPr>
        <w:ind w:left="4" w:firstLine="436"/>
        <w:spacing w:after="0" w:line="266" w:lineRule="auto"/>
        <w:tabs>
          <w:tab w:leader="none" w:pos="689"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by an Indemnified Person or Indemnified Party (as the case may be) under this Section 6 of notice of the commencement of any action or proceeding (including, without limitation, any governmental action or proceeding) involving a Claim, such Indemnified Person or Indemnified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an Indemnified Person or Indemnified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or Indemnified Party (as the case may be) in any such Claim; or (iii) the named parties to any such Claim (including, without limitation, any impleaded parties) include both such Indemnified Person or Indemnified Party (as the case may be) and the indemnifying party, and such Indemnified Person or such Indemnified Party (as the case may be) shall have been advised by counsel that a conflict of interest is likely to exist if the same counsel were to represent such Indemnified Person or such Indemnified Party and the indemnifying party (in which case, if such Indemnified Person or such Indemnified Party (as the case may be)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w:t>
      </w:r>
    </w:p>
    <w:p>
      <w:pPr>
        <w:spacing w:after="0" w:line="7" w:lineRule="exact"/>
        <w:rPr>
          <w:rFonts w:ascii="Times New Roman" w:cs="Times New Roman" w:eastAsia="Times New Roman" w:hAnsi="Times New Roman"/>
          <w:sz w:val="17"/>
          <w:szCs w:val="17"/>
          <w:color w:val="auto"/>
        </w:rPr>
      </w:pPr>
    </w:p>
    <w:p>
      <w:pPr>
        <w:ind w:left="4" w:right="20" w:hanging="4"/>
        <w:spacing w:after="0" w:line="253"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legal counsel for such Indemnified Person or Indemnified Party (as the case may be). The Indemnified Party or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(as the case may be) which relates to such action or Claim. The indemnifying party shall keep the Indemnified Party or Indemnified Person (as the case may be) reasonably apprised at all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53" w:name="page154"/>
    <w:bookmarkEnd w:id="153"/>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Party or Indemnified Person (as the case may be), consent to entry of any judgment or enter into any settlement or other compromise which does not include as an unconditional term thereof the giving by the claimant or plaintiff to such Indemnified Party or Indemnified Person (as the case may be)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(as the case may be) under this Section 6, except to the extent that the indemnifying party is materially and adversely prejudiced in its ability to defend such action.</w:t>
      </w:r>
    </w:p>
    <w:p>
      <w:pPr>
        <w:spacing w:after="0" w:line="192" w:lineRule="exact"/>
        <w:rPr>
          <w:sz w:val="20"/>
          <w:szCs w:val="20"/>
          <w:color w:val="auto"/>
        </w:rPr>
      </w:pPr>
    </w:p>
    <w:p>
      <w:pPr>
        <w:ind w:left="4" w:firstLine="436"/>
        <w:spacing w:after="0" w:line="282" w:lineRule="auto"/>
        <w:tabs>
          <w:tab w:leader="none" w:pos="69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6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8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p>
    <w:p>
      <w:pPr>
        <w:spacing w:after="0" w:line="225" w:lineRule="exact"/>
        <w:rPr>
          <w:sz w:val="20"/>
          <w:szCs w:val="20"/>
          <w:color w:val="auto"/>
        </w:rPr>
      </w:pPr>
    </w:p>
    <w:p>
      <w:pPr>
        <w:ind w:left="4" w:right="140" w:firstLine="440"/>
        <w:spacing w:after="0" w:line="253"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154" w:name="page155"/>
    <w:bookmarkEnd w:id="154"/>
    <w:p>
      <w:pPr>
        <w:ind w:left="184" w:hanging="184"/>
        <w:spacing w:after="0"/>
        <w:tabs>
          <w:tab w:leader="none" w:pos="18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 Under the 1934 Act.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view to making available to the Investors the benefits of Rule 144, the Company agrees to:</w:t>
      </w:r>
    </w:p>
    <w:p>
      <w:pPr>
        <w:spacing w:after="0" w:line="225" w:lineRule="exact"/>
        <w:rPr>
          <w:sz w:val="20"/>
          <w:szCs w:val="20"/>
          <w:color w:val="auto"/>
        </w:rPr>
      </w:pPr>
    </w:p>
    <w:p>
      <w:pPr>
        <w:ind w:left="684" w:hanging="244"/>
        <w:spacing w:after="0"/>
        <w:tabs>
          <w:tab w:leader="none" w:pos="68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69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Securities Purchase Agreement) and the filing of such reports and other documents is required for the applicable provisions of Rule 144; and</w:t>
      </w:r>
    </w:p>
    <w:p>
      <w:pPr>
        <w:spacing w:after="0" w:line="175"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Registration Rights.</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All or any portion of the rights under this Agreement shall be automatically assignable by each Investor to any transferee or assignee (as the case may be) of all or any portion of such Investor’s Registrable Securities or Notes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Securities Purchase Agreement and the Notes (as the case may be); and (vi) such transfer or assignment (as the case may be) shall have been conducted in accordance with all applicable federal and state securities laws.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155" w:name="page156"/>
    <w:bookmarkEnd w:id="155"/>
    <w:p>
      <w:pPr>
        <w:ind w:left="264" w:hanging="264"/>
        <w:spacing w:after="0"/>
        <w:tabs>
          <w:tab w:leader="none" w:pos="2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of Registration Rights.</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94" w:lineRule="exact"/>
        <w:rPr>
          <w:sz w:val="20"/>
          <w:szCs w:val="20"/>
          <w:color w:val="auto"/>
        </w:rPr>
      </w:pPr>
    </w:p>
    <w:p>
      <w:pPr>
        <w:ind w:left="264" w:hanging="264"/>
        <w:spacing w:after="0"/>
        <w:tabs>
          <w:tab w:leader="none" w:pos="2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89"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7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7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Allbirds, Inc.</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530 Washington St.</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legal@allbirds.com</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Holland &amp; Hart LLP</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555 17th St., Suite 3200</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Amy L. Bowler</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abowler@hollandhart.com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156" w:name="page157"/>
    <w:bookmarkEnd w:id="15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Transfer Agent:</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150 Royall St., 2nd Floor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Akinola Marinho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Akinola.Marinho@computershare.com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If to Legal Counsel:</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Kelley Drye &amp; Warren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Michael A. Adelstein, Esq.</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madelstein@kelleydrye.com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Blank Rome LLP</w:t>
      </w:r>
    </w:p>
    <w:p>
      <w:pPr>
        <w:ind w:left="1980"/>
        <w:spacing w:after="0" w:line="196" w:lineRule="auto"/>
        <w:rPr>
          <w:sz w:val="20"/>
          <w:szCs w:val="20"/>
          <w:color w:val="auto"/>
        </w:rPr>
      </w:pPr>
      <w:r>
        <w:rPr>
          <w:rFonts w:ascii="Times New Roman" w:cs="Times New Roman" w:eastAsia="Times New Roman" w:hAnsi="Times New Roman"/>
          <w:sz w:val="18"/>
          <w:szCs w:val="18"/>
          <w:color w:val="auto"/>
        </w:rPr>
        <w:t>130 North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Heather Sonnenberg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heather.sonnenberg@blankrome.com</w:t>
      </w:r>
    </w:p>
    <w:p>
      <w:pPr>
        <w:spacing w:after="0" w:line="2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to a Buyer, to its mailing address and/or email address set forth on the Schedule of Buyers attached to the Securities Purchase Agreement, with copies to such Buyer’s representatives as set forth on the Schedule of Buyers, or to such other mailing address and/or email address and/or to the attention of such other Person as the recipient party has specified by written notice given to each other party five (5) days prior to the effectiveness of such change, provided that Kelley Drye &amp; Warren LLP shall only be provided notices sent to the lead investor. Written confirmation of receipt (A) given by the recipient of such notice, consent, waiver or other communication, (B) 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157" w:name="page158"/>
    <w:bookmarkEnd w:id="157"/>
    <w:p>
      <w:pPr>
        <w:ind w:right="40" w:firstLine="436"/>
        <w:spacing w:after="0" w:line="256" w:lineRule="auto"/>
        <w:tabs>
          <w:tab w:leader="none" w:pos="6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concerning the construction, validity, enforcement and interpretation of this Agreement shall be governed by the internal laws of the State of Delaware, without giving effect to any provision of law or rule (whether of the State of Delaware or any other jurisdictions) that would cause the application of the laws of any jurisdictions other than the State of Delaware. Each party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189"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58" w:name="page159"/>
    <w:bookmarkEnd w:id="158"/>
    <w:p>
      <w:pPr>
        <w:ind w:firstLine="436"/>
        <w:spacing w:after="0" w:line="253" w:lineRule="auto"/>
        <w:tabs>
          <w:tab w:leader="none" w:pos="66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spacing w:after="0" w:line="19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spacing w:after="0" w:line="175" w:lineRule="exact"/>
        <w:rPr>
          <w:rFonts w:ascii="Times New Roman" w:cs="Times New Roman" w:eastAsia="Times New Roman" w:hAnsi="Times New Roman"/>
          <w:sz w:val="18"/>
          <w:szCs w:val="18"/>
          <w:color w:val="auto"/>
        </w:rPr>
      </w:pPr>
    </w:p>
    <w:p>
      <w:pPr>
        <w:ind w:right="120" w:firstLine="436"/>
        <w:spacing w:after="0" w:line="281" w:lineRule="auto"/>
        <w:tabs>
          <w:tab w:leader="none" w:pos="695"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64" w:lineRule="exact"/>
        <w:rPr>
          <w:rFonts w:ascii="Times New Roman" w:cs="Times New Roman" w:eastAsia="Times New Roman" w:hAnsi="Times New Roman"/>
          <w:sz w:val="17"/>
          <w:szCs w:val="17"/>
          <w:color w:val="auto"/>
        </w:rPr>
      </w:pPr>
    </w:p>
    <w:p>
      <w:pPr>
        <w:ind w:firstLine="436"/>
        <w:spacing w:after="0" w:line="258"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59" w:name="page160"/>
    <w:bookmarkEnd w:id="159"/>
    <w:p>
      <w:pPr>
        <w:ind w:left="-20" w:right="160" w:firstLine="436"/>
        <w:spacing w:after="0" w:line="261" w:lineRule="auto"/>
        <w:tabs>
          <w:tab w:leader="none" w:pos="67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Initial Closing Date in such other Transaction Documents unless otherwise consented to in writing by each Investor.</w:t>
      </w:r>
    </w:p>
    <w:p>
      <w:pPr>
        <w:spacing w:after="0" w:line="179" w:lineRule="exact"/>
        <w:rPr>
          <w:rFonts w:ascii="Times New Roman" w:cs="Times New Roman" w:eastAsia="Times New Roman" w:hAnsi="Times New Roman"/>
          <w:sz w:val="18"/>
          <w:szCs w:val="18"/>
          <w:color w:val="auto"/>
        </w:rPr>
      </w:pPr>
    </w:p>
    <w:p>
      <w:pPr>
        <w:ind w:left="-20" w:right="200" w:firstLine="436"/>
        <w:spacing w:after="0" w:line="266" w:lineRule="auto"/>
        <w:tabs>
          <w:tab w:leader="none" w:pos="63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and other determinations required to be made by the Investors pursuant to this Agreement shall be made, unless otherwise specified in this Agreement, by the Required Holders, determined as if all of the outstanding Notes then held by the Investors have been converted for Registrable Securities without regard to any limitations on redemption, amortization and/or conversion of the Notes then held by Investors.</w:t>
      </w:r>
    </w:p>
    <w:p>
      <w:pPr>
        <w:spacing w:after="0" w:line="175" w:lineRule="exact"/>
        <w:rPr>
          <w:rFonts w:ascii="Times New Roman" w:cs="Times New Roman" w:eastAsia="Times New Roman" w:hAnsi="Times New Roman"/>
          <w:sz w:val="18"/>
          <w:szCs w:val="18"/>
          <w:color w:val="auto"/>
        </w:rPr>
      </w:pPr>
    </w:p>
    <w:p>
      <w:pPr>
        <w:ind w:left="-20" w:firstLine="436"/>
        <w:spacing w:after="0" w:line="282" w:lineRule="auto"/>
        <w:tabs>
          <w:tab w:leader="none" w:pos="72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2" w:lineRule="auto"/>
        <w:tabs>
          <w:tab w:leader="none" w:pos="67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160" w:name="page161"/>
    <w:bookmarkEnd w:id="16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Buyer and the Company have caused their respective signature page to this Registration Rights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20"/>
          </w:cols>
          <w:pgMar w:left="440" w:top="266" w:right="639" w:bottom="1440" w:gutter="0" w:footer="0" w:header="0"/>
        </w:sectPr>
      </w:pPr>
    </w:p>
    <w:bookmarkStart w:id="161" w:name="page162"/>
    <w:bookmarkEnd w:id="16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Buyer and the Company have caused their respective signature page to this Registration Rights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BUYERS: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[LEAD BUYER]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20"/>
          </w:cols>
          <w:pgMar w:left="440" w:top="266" w:right="6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EFFECTIVENESS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____________</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w:t>
      </w:r>
      <w:r>
        <w:rPr>
          <w:rFonts w:ascii="Times New Roman" w:cs="Times New Roman" w:eastAsia="Times New Roman" w:hAnsi="Times New Roman"/>
          <w:sz w:val="18"/>
          <w:szCs w:val="18"/>
          <w:color w:val="auto"/>
        </w:rPr>
        <w:t xml:space="preserve">   Allbirds,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7"/>
          <w:szCs w:val="17"/>
          <w:color w:val="auto"/>
        </w:rPr>
        <w:t>[We are][I am] counsel to Allbirds,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have represented the Company in connection with that certain Securities Purchase Agreement (the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entered into by and among the Company and the buyers named therein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pursuant to which the Company issued to the Holders senior secured convertible notes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convertible into the Company’s shares of Class A common stock, $0.0001 par value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Pursuant to the Securities Purchase Agreement, the Company also has entered into a Registration Rights Agreement with the Holders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pursuant to which the Company agreed, among other things, to register the Registrable Securities (as defined in the Registration Rights Agreement), including the shares of Common Stock issuable upon conversion of the Notes under the Securities Act of 1933, as amended (the “</w:t>
      </w:r>
      <w:r>
        <w:rPr>
          <w:rFonts w:ascii="Times New Roman" w:cs="Times New Roman" w:eastAsia="Times New Roman" w:hAnsi="Times New Roman"/>
          <w:sz w:val="17"/>
          <w:szCs w:val="17"/>
          <w:b w:val="1"/>
          <w:bCs w:val="1"/>
          <w:color w:val="auto"/>
        </w:rPr>
        <w:t>1933 Act</w:t>
      </w:r>
      <w:r>
        <w:rPr>
          <w:rFonts w:ascii="Times New Roman" w:cs="Times New Roman" w:eastAsia="Times New Roman" w:hAnsi="Times New Roman"/>
          <w:sz w:val="17"/>
          <w:szCs w:val="17"/>
          <w:color w:val="auto"/>
        </w:rPr>
        <w:t>”). In connection with the Company’s obligations under the Registration Rights Agreement, on ____________ ___, 20__, the Company filed a Registration Statement 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[S-1][S-3] (File No. 333-_____________)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Registrable Securities which names each of the Holders as a selling stockholder thereunder.</w:t>
      </w:r>
    </w:p>
    <w:p>
      <w:pPr>
        <w:spacing w:after="0" w:line="20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[we][I] advise you that [a member of the SEC’s staff has advised [us][me] by telephone that [the SEC has entered an order declaring the Registration Statement effective under the 1933 Act at [ENTER TIME OF EFFECTIVENESS] on [ENTER DATE OF EFFECTIVENESS]] [an order declaring the Registration Statement effective under the 1933 Act at [ENTER TIME OF EFFECTIVENESS] on [ENTER DATE OF EFFECTIVENESS]] has been posted on the web site of the SEC at www.sec.gov] and [we][I] have no knowledge, after a review of information posted on the website of the SEC at http://www.sec.gov/litigation/stoporders.shtml,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sectPr>
          <w:pgSz w:w="11900" w:h="16838" w:orient="portrait"/>
          <w:cols w:equalWidth="0" w:num="1">
            <w:col w:w="11020"/>
          </w:cols>
          <w:pgMar w:left="440" w:top="266" w:right="439" w:bottom="1440" w:gutter="0" w:footer="0" w:header="0"/>
        </w:sectPr>
      </w:pPr>
    </w:p>
    <w:bookmarkStart w:id="163" w:name="page164"/>
    <w:bookmarkEnd w:id="163"/>
    <w:p>
      <w:pPr>
        <w:ind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shall serve as our standing opinion to you that the shares of Common Stock underlying the Notes are freely transferable by the Holders pursuant to the Registration Statement. You need not require further letters from us to effect any future legend-free issuance or reissuance of such shares of Common Stock to the Holders as contemplated by the Company’s Irrevocable Transfer Agent Instructions dated _________ __, 20__.</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[ISSUER’S COUNSEL]</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[BUYERS]</w:t>
      </w:r>
    </w:p>
    <w:p>
      <w:pPr>
        <w:sectPr>
          <w:pgSz w:w="11900" w:h="16838" w:orient="portrait"/>
          <w:cols w:equalWidth="0" w:num="1">
            <w:col w:w="10860"/>
          </w:cols>
          <w:pgMar w:left="440" w:top="270" w:right="5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issuable to the selling stockholders upon conversion of the notes. For additional information regarding the issuance of the notes, see “Private Placement of Notes” above. We are registering the shares of common stock in order to permit the selling stockholders to offer the shares for resale from time to time. Except for the ownership of the notes issued pursuant to the Securities Purchase Agreement, the selling stockholders have not had any material relationship with us within the past three years.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and notes, as of ________, 20__, assuming conversion of the notes held by each such selling stockholder on that date but taking account of any limitations on conversion set forth therein.</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 and does not take in account any limitations on conversion of the notes set forth therein.</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holders of the notes, this prospectus generally covers the resale of 150% of the maximum number of shares of common stock issued or issuable pursuant to the Notes (assuming for purposes hereof that all additional notes issuable pursuant to the Securities Purchase Agreement shall have been issued as of such time of determination), including payment of interest on the notes through [DATE], determined as if the outstanding notes (including interest on the notes through [DATE])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notes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spacing w:after="0" w:line="192"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notes, a selling stockholder may not convert the notes to the extent (but only to the extent) such selling stockholder or any of its affiliates would beneficially own a number of shares of our common stock which would exceed 4.99% of the outstanding shares of the Company. The number of shares in the second column reflects these limitations. The selling stockholders may sell all, some or none of their shares in this offering. See “Plan of Distribution.”</w:t>
      </w:r>
    </w:p>
    <w:p>
      <w:pPr>
        <w:sectPr>
          <w:pgSz w:w="11900" w:h="16838" w:orient="portrait"/>
          <w:cols w:equalWidth="0" w:num="1">
            <w:col w:w="11020"/>
          </w:cols>
          <w:pgMar w:left="440" w:top="266" w:right="4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33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5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r>
      <w:tr>
        <w:trPr>
          <w:trHeight w:val="148"/>
        </w:trPr>
        <w:tc>
          <w:tcPr>
            <w:tcW w:w="2900" w:type="dxa"/>
            <w:vAlign w:val="bottom"/>
          </w:tcPr>
          <w:p>
            <w:pPr>
              <w:spacing w:after="0"/>
              <w:rPr>
                <w:sz w:val="12"/>
                <w:szCs w:val="12"/>
                <w:color w:val="auto"/>
              </w:rPr>
            </w:pPr>
          </w:p>
        </w:tc>
        <w:tc>
          <w:tcPr>
            <w:tcW w:w="33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Owned</w:t>
            </w:r>
          </w:p>
        </w:tc>
        <w:tc>
          <w:tcPr>
            <w:tcW w:w="2540" w:type="dxa"/>
            <w:vAlign w:val="bottom"/>
          </w:tcPr>
          <w:p>
            <w:pPr>
              <w:jc w:val="center"/>
              <w:ind w:left="688"/>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 to be Sold</w:t>
            </w:r>
          </w:p>
        </w:tc>
      </w:tr>
      <w:tr>
        <w:trPr>
          <w:trHeight w:val="204"/>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33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25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Pursuant to this Prospectus</w:t>
            </w: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[BUYERS] (1)</w:t>
      </w:r>
    </w:p>
    <w:p>
      <w:pPr>
        <w:spacing w:after="0" w:line="252" w:lineRule="exact"/>
        <w:rPr>
          <w:sz w:val="20"/>
          <w:szCs w:val="20"/>
          <w:color w:val="auto"/>
        </w:rPr>
      </w:pPr>
    </w:p>
    <w:p>
      <w:pPr>
        <w:ind w:left="540" w:hanging="436"/>
        <w:spacing w:after="0"/>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w:t>
      </w:r>
    </w:p>
    <w:p>
      <w:pPr>
        <w:spacing w:after="0" w:line="20" w:lineRule="exact"/>
        <w:rPr>
          <w:sz w:val="20"/>
          <w:szCs w:val="20"/>
          <w:color w:val="auto"/>
        </w:rPr>
      </w:pPr>
      <w:r>
        <w:rPr>
          <w:sz w:val="20"/>
          <w:szCs w:val="20"/>
          <w:color w:val="auto"/>
        </w:rPr>
        <w:br w:type="column"/>
      </w:r>
    </w:p>
    <w:p>
      <w:pPr>
        <w:jc w:val="center"/>
        <w:spacing w:after="0" w:line="243" w:lineRule="auto"/>
        <w:rPr>
          <w:sz w:val="20"/>
          <w:szCs w:val="20"/>
          <w:color w:val="auto"/>
        </w:rPr>
      </w:pPr>
      <w:r>
        <w:rPr>
          <w:rFonts w:ascii="Times New Roman" w:cs="Times New Roman" w:eastAsia="Times New Roman" w:hAnsi="Times New Roman"/>
          <w:sz w:val="14"/>
          <w:szCs w:val="14"/>
          <w:b w:val="1"/>
          <w:bCs w:val="1"/>
          <w:color w:val="auto"/>
        </w:rPr>
        <w:t>Number of Shares of Common Stock of Owned After Offering</w:t>
      </w:r>
    </w:p>
    <w:p>
      <w:pPr>
        <w:sectPr>
          <w:pgSz w:w="11900" w:h="16838" w:orient="portrait"/>
          <w:cols w:equalWidth="0" w:num="2">
            <w:col w:w="8840" w:space="720"/>
            <w:col w:w="1340"/>
          </w:cols>
          <w:pgMar w:left="440" w:top="251" w:right="559" w:bottom="1440" w:gutter="0" w:footer="0" w:header="0"/>
        </w:sectPr>
      </w:pPr>
    </w:p>
    <w:bookmarkStart w:id="166" w:name="page167"/>
    <w:bookmarkEnd w:id="16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notes to permit the resale of these shares of common stock by the holders of the notes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89" w:lineRule="exact"/>
        <w:rPr>
          <w:sz w:val="20"/>
          <w:szCs w:val="20"/>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ectPr>
          <w:pgSz w:w="11900" w:h="16838" w:orient="portrait"/>
          <w:cols w:equalWidth="0" w:num="1">
            <w:col w:w="10940"/>
          </w:cols>
          <w:pgMar w:left="440" w:top="266" w:right="519" w:bottom="1440" w:gutter="0" w:footer="0" w:header="0"/>
        </w:sectPr>
      </w:pPr>
    </w:p>
    <w:bookmarkStart w:id="167" w:name="page168"/>
    <w:bookmarkEnd w:id="167"/>
    <w:p>
      <w:pPr>
        <w:ind w:left="1420" w:hanging="331"/>
        <w:spacing w:after="0"/>
        <w:tabs>
          <w:tab w:leader="none" w:pos="14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combination of any such methods of sale;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ectPr>
          <w:pgSz w:w="11900" w:h="16838" w:orient="portrait"/>
          <w:cols w:equalWidth="0" w:num="1">
            <w:col w:w="11000"/>
          </w:cols>
          <w:pgMar w:left="440" w:top="270" w:right="459" w:bottom="1440" w:gutter="0" w:footer="0" w:header="0"/>
        </w:sectPr>
      </w:pPr>
    </w:p>
    <w:bookmarkStart w:id="168" w:name="page169"/>
    <w:bookmarkEnd w:id="16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$[  ]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Once sold under the registration statement, of which this prospectus forms a part, the shares of common stock will be freely tradable in the hands of persons other than our affiliates.</w:t>
      </w:r>
    </w:p>
    <w:p>
      <w:pPr>
        <w:sectPr>
          <w:pgSz w:w="11900" w:h="16838" w:orient="portrait"/>
          <w:cols w:equalWidth="0" w:num="1">
            <w:col w:w="11000"/>
          </w:cols>
          <w:pgMar w:left="440" w:top="270" w:right="45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9"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This Support Agreement (this “Agreement”), dated as of April 8, 2026, is made by and between the undersigned stockholder and Allbirds, Inc. (the “Company”). Capitalized terms used but not otherwise defined herein have the meanings ascribed in the Asset Purchase Agreement, dated March 29, 2026, by and between the Company and Allbirds IP LLC (the “APA”).</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entered into the APA, which is subject to stockholder approval at the special meeting of stockholders anticipated to be held in May 2026 (as such meeting may be delayed or adjourned (the “Special Meeting”)); and</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as of the date hereof, the undersigned is a holder of record and the “beneficial owner” (within the meaning of Rule 13d-3 under the Exchange Act) of [  ] shares of Class A and [  ] shares of Class B common stock, which entitles the undersigned to consideration described in the APA in the event that the APA is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-175895</wp:posOffset>
            </wp:positionV>
            <wp:extent cx="114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-175895</wp:posOffset>
            </wp:positionV>
            <wp:extent cx="1143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hereto agree as follows:</w:t>
      </w:r>
    </w:p>
    <w:p>
      <w:pPr>
        <w:spacing w:after="0" w:line="50" w:lineRule="exact"/>
        <w:rPr>
          <w:sz w:val="20"/>
          <w:szCs w:val="20"/>
          <w:color w:val="auto"/>
        </w:rPr>
      </w:pPr>
    </w:p>
    <w:p>
      <w:pPr>
        <w:ind w:right="20" w:firstLine="436"/>
        <w:spacing w:after="0" w:line="254"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The undersigned hereby irrevocably and unconditionally agrees that from the date hereof until the earlier of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and (b) the valid termination of the APA in accordance with its terms or the termination of this Agreement, (i) to vote (or cause to be voted) or execute and deliver a written consent (or cause a written consent to be executed and delivered) at the Special Meeting or any meeting of the stockholders of the Company, however called, or at any adjournment thereof, or in any other circumstance in which the vote, consent or other approval of the stockholders of the Company is sought (and appear at any such meeting, in person or by proxy), all of the undersigned’s voting securities (collectively, the “Subject Equity Securities”), (A) as recommended by the board of directors of the Company (the “Board”) on the matters identified in the proxy statement filed in connection with the Special Meeting and any other matters necessary or reasonably requested by the Company for the consummation or implementation of such matters (collectively, the “Stockholder Matters”), (B) against any proposal in opposition to the Stockholder Matters recommended by the Board, and (C) against any proposal, action or agreement that would impede, frustrate, prevent or nullify any Stockholder Matter recommended by the Board.</w:t>
      </w:r>
    </w:p>
    <w:p>
      <w:pPr>
        <w:spacing w:after="0" w:line="185" w:lineRule="exact"/>
        <w:rPr>
          <w:rFonts w:ascii="Times New Roman" w:cs="Times New Roman" w:eastAsia="Times New Roman" w:hAnsi="Times New Roman"/>
          <w:sz w:val="18"/>
          <w:szCs w:val="18"/>
          <w:color w:val="auto"/>
        </w:rPr>
      </w:pPr>
    </w:p>
    <w:p>
      <w:pPr>
        <w:ind w:right="60" w:firstLine="436"/>
        <w:spacing w:after="0" w:line="255"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Transfer</w:t>
      </w:r>
      <w:r>
        <w:rPr>
          <w:rFonts w:ascii="Times New Roman" w:cs="Times New Roman" w:eastAsia="Times New Roman" w:hAnsi="Times New Roman"/>
          <w:sz w:val="18"/>
          <w:szCs w:val="18"/>
          <w:color w:val="auto"/>
        </w:rPr>
        <w:t>. The undersigned agrees that the undersigned will not, directly or indirectly, during the period commencing on the date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the earlier of (x) the termination of the APA in accordance with its terms, or (y) the approval of the Stockholder Matters, (i) sell, assign, transfer (including by operation of Law), gift, pledge, dispose of or otherwise encumber any of the Subject Equity Securities or otherwise agree to do any of the foregoing, (ii) deposit any Subject Equity Securities into a voting trust or enter into a voting agreement or arrangement or grant any proxy or power of attorney with respect thereto that is inconsistent with this Agreement, or (iii) enter into any contract, option or other arrangement or undertaking with respect to the direct or indirect acquisition or sale, assignment, transfer (including by operation of Law) or other disposition of any Subject Equity Securities. Notwithstanding the foregoing, the undersigned may transfer the Subject Equity Securities a controlled Affiliate, family member, or estate-planning entity, provided that the Subject Equity Securities remain subject to the terms of this Agreement.</w:t>
      </w:r>
    </w:p>
    <w:p>
      <w:pPr>
        <w:sectPr>
          <w:pgSz w:w="11900" w:h="16838" w:orient="portrait"/>
          <w:cols w:equalWidth="0" w:num="1">
            <w:col w:w="11020"/>
          </w:cols>
          <w:pgMar w:left="440" w:top="117" w:right="439" w:bottom="1440" w:gutter="0" w:footer="0" w:header="0"/>
        </w:sectPr>
      </w:pPr>
    </w:p>
    <w:bookmarkStart w:id="170" w:name="page171"/>
    <w:bookmarkEnd w:id="170"/>
    <w:p>
      <w:pPr>
        <w:ind w:left="-436" w:right="140" w:firstLine="436"/>
        <w:spacing w:after="0" w:line="262" w:lineRule="auto"/>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w:t>
      </w:r>
      <w:r>
        <w:rPr>
          <w:rFonts w:ascii="Times New Roman" w:cs="Times New Roman" w:eastAsia="Times New Roman" w:hAnsi="Times New Roman"/>
          <w:sz w:val="18"/>
          <w:szCs w:val="18"/>
          <w:color w:val="auto"/>
        </w:rPr>
        <w:t>. In the event of any stock split, stock dividend or distribution, merger, reorganization, recapitalization, reclassification,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exchange of shares or the like of the capital stock of the Company affecting the undersigned’s Subject Equity Securities, the terms of this Agreement will apply to the resulting securities to the same extent as if such securities constituted the Subject Equity Securities owned by the undersigned as of the date hereof.</w:t>
      </w:r>
    </w:p>
    <w:p>
      <w:pPr>
        <w:spacing w:after="0" w:line="176" w:lineRule="exact"/>
        <w:rPr>
          <w:rFonts w:ascii="Times New Roman" w:cs="Times New Roman" w:eastAsia="Times New Roman" w:hAnsi="Times New Roman"/>
          <w:sz w:val="18"/>
          <w:szCs w:val="18"/>
          <w:color w:val="auto"/>
        </w:rPr>
      </w:pPr>
    </w:p>
    <w:p>
      <w:pPr>
        <w:jc w:val="both"/>
        <w:ind w:left="-436" w:right="20" w:firstLine="436"/>
        <w:spacing w:after="0" w:line="268" w:lineRule="auto"/>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Appraisal Rights</w:t>
      </w:r>
      <w:r>
        <w:rPr>
          <w:rFonts w:ascii="Times New Roman" w:cs="Times New Roman" w:eastAsia="Times New Roman" w:hAnsi="Times New Roman"/>
          <w:sz w:val="18"/>
          <w:szCs w:val="18"/>
          <w:color w:val="auto"/>
        </w:rPr>
        <w:t>. The undersigned hereby irrevocably and unconditionally waives and agrees not to exercise any rights of appraisal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rights to dissent from the Stockholder Matters that the undersigned may have with respect to the Subject Equity Securities, subject to and conditioned upon, the occurrence of the Closing.</w:t>
      </w:r>
    </w:p>
    <w:p>
      <w:pPr>
        <w:spacing w:after="0" w:line="17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undersigned represents and warrants to the Company as follows:</w:t>
      </w:r>
    </w:p>
    <w:p>
      <w:pPr>
        <w:spacing w:after="0" w:line="121" w:lineRule="exact"/>
        <w:rPr>
          <w:rFonts w:ascii="Times New Roman" w:cs="Times New Roman" w:eastAsia="Times New Roman" w:hAnsi="Times New Roman"/>
          <w:sz w:val="18"/>
          <w:szCs w:val="18"/>
          <w:color w:val="auto"/>
        </w:rPr>
      </w:pPr>
    </w:p>
    <w:p>
      <w:pPr>
        <w:ind w:left="-436" w:right="60" w:firstLine="987"/>
        <w:spacing w:after="0" w:line="255" w:lineRule="auto"/>
        <w:tabs>
          <w:tab w:leader="none" w:pos="8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all requisite power and authority to execute and deliver this Agreement and to perform the undersigned’s obligations hereunder and to consummate the transactions contemplated hereby. The execution, delivery and performance of this Agreement and the consummation of the transactions contemplated hereby have been duly and validly authorized and approved and no other action on the part of the undersigned is necessary to authorize this Agreement or the undersigned’s performance hereunder. This Agreement has been duly and validly executed and delivered by the undersigned and constitutes a legal, valid and binding obligation of the undersigned enforceable against the undersigned in accordance with its terms. The undersigned has full voting power with respect to all of the Subject Equity Securities and full power to agree to all of the matters set forth in this Agreement.</w:t>
      </w:r>
    </w:p>
    <w:p>
      <w:pPr>
        <w:spacing w:after="0" w:line="188" w:lineRule="exact"/>
        <w:rPr>
          <w:rFonts w:ascii="Times New Roman" w:cs="Times New Roman" w:eastAsia="Times New Roman" w:hAnsi="Times New Roman"/>
          <w:sz w:val="18"/>
          <w:szCs w:val="18"/>
          <w:color w:val="auto"/>
        </w:rPr>
      </w:pPr>
    </w:p>
    <w:p>
      <w:pPr>
        <w:ind w:left="-436" w:right="40" w:firstLine="987"/>
        <w:spacing w:after="0" w:line="266" w:lineRule="auto"/>
        <w:tabs>
          <w:tab w:leader="none" w:pos="81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record and beneficial owner (as defined in the Securities Act) of, and has good and marketable title to, all of the undersigned’s Subject Equity Securities, and there exist no Encumbrances or any other limitation or restriction (including any restriction on the right to vote, sell or otherwise dispose of such shares (other than transfer restrictions under the Securities Act) affecting any such shares.</w:t>
      </w:r>
    </w:p>
    <w:p>
      <w:pPr>
        <w:spacing w:after="0" w:line="175" w:lineRule="exact"/>
        <w:rPr>
          <w:rFonts w:ascii="Times New Roman" w:cs="Times New Roman" w:eastAsia="Times New Roman" w:hAnsi="Times New Roman"/>
          <w:sz w:val="18"/>
          <w:szCs w:val="18"/>
          <w:color w:val="auto"/>
        </w:rPr>
      </w:pPr>
    </w:p>
    <w:p>
      <w:pPr>
        <w:ind w:left="-436" w:firstLine="987"/>
        <w:spacing w:after="0" w:line="266" w:lineRule="auto"/>
        <w:tabs>
          <w:tab w:leader="none" w:pos="8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and acknowledges that the Company is submitting the Stockholder Matters for approval, filing the related proxy statement with the Securities and Exchange Commission, and disclosing stockholder support for the APA, in reliance on the undersigned’s execution, delivery and performance of this Agreement.</w:t>
      </w:r>
    </w:p>
    <w:p>
      <w:pPr>
        <w:spacing w:after="0" w:line="171" w:lineRule="exact"/>
        <w:rPr>
          <w:rFonts w:ascii="Times New Roman" w:cs="Times New Roman" w:eastAsia="Times New Roman" w:hAnsi="Times New Roman"/>
          <w:sz w:val="18"/>
          <w:szCs w:val="18"/>
          <w:color w:val="auto"/>
        </w:rPr>
      </w:pPr>
    </w:p>
    <w:p>
      <w:pPr>
        <w:jc w:val="both"/>
        <w:ind w:left="-436" w:right="80" w:firstLine="436"/>
        <w:spacing w:after="0" w:line="268" w:lineRule="auto"/>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will automatically terminate, without any notice or other action by any party, and be 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valid termination of the APA in accordance with its terms or the approval of the Stockholder Matters. On termination of this Agreement, none of the parties will have any further obligations or liabilities under, or with respect to, this Agreement.</w:t>
      </w:r>
    </w:p>
    <w:p>
      <w:pPr>
        <w:spacing w:after="0" w:line="170" w:lineRule="exact"/>
        <w:rPr>
          <w:rFonts w:ascii="Times New Roman" w:cs="Times New Roman" w:eastAsia="Times New Roman" w:hAnsi="Times New Roman"/>
          <w:sz w:val="18"/>
          <w:szCs w:val="18"/>
          <w:color w:val="auto"/>
        </w:rPr>
      </w:pPr>
    </w:p>
    <w:p>
      <w:pPr>
        <w:ind w:left="-436" w:right="100" w:firstLine="436"/>
        <w:spacing w:after="0" w:line="262" w:lineRule="auto"/>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Fiduciary Duties</w:t>
      </w:r>
      <w:r>
        <w:rPr>
          <w:rFonts w:ascii="Times New Roman" w:cs="Times New Roman" w:eastAsia="Times New Roman" w:hAnsi="Times New Roman"/>
          <w:sz w:val="18"/>
          <w:szCs w:val="18"/>
          <w:color w:val="auto"/>
        </w:rPr>
        <w:t>. Notwithstanding anything in this Agreement to the contrary, (a) the undersigned makes no agreement or understanding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in any capacity other than in the undersigned’s capacity as a record holder or beneficial owner of the Subject Equity Securities, and (b) nothing herein will be construed to limit or affect any action or inaction by the undersigned, or any representative of the undersigned, as a member of the Board acting in such person’s capacity as a director or fiduciary of the Company.</w:t>
      </w:r>
    </w:p>
    <w:p>
      <w:pPr>
        <w:spacing w:after="0" w:line="176" w:lineRule="exact"/>
        <w:rPr>
          <w:rFonts w:ascii="Times New Roman" w:cs="Times New Roman" w:eastAsia="Times New Roman" w:hAnsi="Times New Roman"/>
          <w:sz w:val="18"/>
          <w:szCs w:val="18"/>
          <w:color w:val="auto"/>
        </w:rPr>
      </w:pPr>
    </w:p>
    <w:p>
      <w:pPr>
        <w:ind w:left="-436" w:right="20" w:firstLine="436"/>
        <w:spacing w:after="0" w:line="268" w:lineRule="auto"/>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From time to time, at the Company’s request and without further consideration, the undersigned will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additional documents and take all such further action as may be reasonably necessary or reasonably requested to effect the actions and consummate the transactions contemplated by this Agreement.</w:t>
      </w:r>
    </w:p>
    <w:p>
      <w:pPr>
        <w:spacing w:after="0" w:line="170" w:lineRule="exact"/>
        <w:rPr>
          <w:rFonts w:ascii="Times New Roman" w:cs="Times New Roman" w:eastAsia="Times New Roman" w:hAnsi="Times New Roman"/>
          <w:sz w:val="18"/>
          <w:szCs w:val="18"/>
          <w:color w:val="auto"/>
        </w:rPr>
      </w:pPr>
    </w:p>
    <w:p>
      <w:pPr>
        <w:ind w:left="-436" w:right="160" w:firstLine="436"/>
        <w:spacing w:after="0" w:line="262" w:lineRule="auto"/>
        <w:tabs>
          <w:tab w:leader="none" w:pos="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Amendment/Waiver/Assignment</w:t>
      </w:r>
      <w:r>
        <w:rPr>
          <w:rFonts w:ascii="Times New Roman" w:cs="Times New Roman" w:eastAsia="Times New Roman" w:hAnsi="Times New Roman"/>
          <w:sz w:val="18"/>
          <w:szCs w:val="18"/>
          <w:color w:val="auto"/>
        </w:rPr>
        <w:t>. This Agreement may be amended, modified in whole or in part, or waived, only in a writing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No party may assign this Agreement or any part hereof without the prior written consent of the other party. This Agreement will be binding on and inure to the benefit of the parties and their respective permitted successors and assigns. Any attempted assignment in violation of the terms of this Agreement will be null and void, ab initio.</w:t>
      </w:r>
    </w:p>
    <w:p>
      <w:pPr>
        <w:spacing w:after="0" w:line="176" w:lineRule="exact"/>
        <w:rPr>
          <w:rFonts w:ascii="Times New Roman" w:cs="Times New Roman" w:eastAsia="Times New Roman" w:hAnsi="Times New Roman"/>
          <w:sz w:val="18"/>
          <w:szCs w:val="18"/>
          <w:color w:val="auto"/>
        </w:rPr>
      </w:pPr>
    </w:p>
    <w:p>
      <w:pPr>
        <w:ind w:left="-436" w:right="40" w:firstLine="436"/>
        <w:spacing w:after="0" w:line="262" w:lineRule="auto"/>
        <w:tabs>
          <w:tab w:leader="none" w:pos="27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will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in accordance with, the internal substantive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w:t>
      </w:r>
    </w:p>
    <w:p>
      <w:pPr>
        <w:sectPr>
          <w:pgSz w:w="11900" w:h="16838" w:orient="portrait"/>
          <w:cols w:equalWidth="0" w:num="1">
            <w:col w:w="10564"/>
          </w:cols>
          <w:pgMar w:left="876" w:top="266" w:right="459" w:bottom="1440" w:gutter="0" w:footer="0" w:header="0"/>
        </w:sectPr>
      </w:pPr>
    </w:p>
    <w:bookmarkStart w:id="171" w:name="page172"/>
    <w:bookmarkEnd w:id="171"/>
    <w:p>
      <w:pPr>
        <w:ind w:right="80" w:firstLine="436"/>
        <w:spacing w:after="0" w:line="268" w:lineRule="auto"/>
        <w:tabs>
          <w:tab w:leader="none" w:pos="70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constitutes the entire agreement among the parties relating to the subject matter hereof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agreements, whether written or oral, that may have been made or entered into by or among any of the parties or any of their Affiliates relating to the subject matter hereof.</w:t>
      </w:r>
    </w:p>
    <w:p>
      <w:pPr>
        <w:spacing w:after="0" w:line="170"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w:t>
      </w:r>
      <w:r>
        <w:rPr>
          <w:rFonts w:ascii="Times New Roman" w:cs="Times New Roman" w:eastAsia="Times New Roman" w:hAnsi="Times New Roman"/>
          <w:sz w:val="18"/>
          <w:szCs w:val="18"/>
          <w:color w:val="auto"/>
        </w:rPr>
        <w:t>. The parties agree that irreparable damage for which monetary damages, even if available, would not be an adequate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occur if the parties do not perform their obligations under this Agreement, and that (a) the Company is entitled to an injunction, specific performance, or other equitable relief, to prevent breaches of this Agreement and to enforce specifically the terms and provisions hereof, without proof of damages, this being in addition to any other remedy to which the Company is entitled under this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in connection with seeking an injunction or specific performance, the Company will not be required to provide any bond or other security.</w:t>
      </w:r>
    </w:p>
    <w:p>
      <w:pPr>
        <w:spacing w:after="0" w:line="188"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its behalf as of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Joe Vernachio</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72" w:name="page173"/>
    <w:bookmarkEnd w:id="172"/>
    <w:p>
      <w:pPr>
        <w:ind w:left="10084"/>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left="440"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OTHER LOAN DOCUMENTS</w:t>
      </w:r>
    </w:p>
    <w:p>
      <w:pPr>
        <w:spacing w:after="0" w:line="229"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This SECOND AMENDMENT TO CREDIT AGREEMENT AND OTHER LOAN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April 19, 2026, by and among Allbirds, Inc., a Delaware public benefit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party hereto, the Lenders party hereto and Second Avenue Capital Partners LLC, as Administrative Agent and Collateral Agent (in such capacities,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 I T N E S S E T H :</w:t>
      </w:r>
    </w:p>
    <w:p>
      <w:pPr>
        <w:spacing w:after="0" w:line="225"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A. Reference is made to that certain Credit Agreement dated as of June 30, 2025 (as amended by that certain Consent and First Amendment to Credit Agreement, dated as of March 29, 2026,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and as may be further amended, restated, amended and restated, modified, supplemented and in effect from time to time,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by and among, among others, the Borrower, the Guarantors from time to time party thereto, the Lenders from time to time party thereto and the Agent. Capitalized terms used but not defined herein shall have the meanings set forth in the Amended Credit Agreement.</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B. The Borrower has requested that the Agent and the Lenders agree to amend certain provisions of the Existing Credit Agreement, as more fully set forth herein, and the Agent and the Lenders are willing to do the foregoing, subject to the terms and conditions expressly set forth herein.</w:t>
      </w:r>
    </w:p>
    <w:p>
      <w:pPr>
        <w:spacing w:after="0" w:line="16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C. The Borrower has informed the Agent that the Borrower intends to enter into that certain Senior Secured Convertible Note, dated as of April 19, 2026 (as the same may be amended, restated, amended and restated, supplemented or otherwise modified from time to time in accordance with this Agreement, the “Subordinated Loan Agreement”), made by the Borrower in favor of [*] (together with their successors and assigns, the “</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in an aggregate initial principal amount equal to $3,250,000 on the terms and conditions set forth therein. The Subordinated Loan Agreement is not permitted under Section 7.03 of the Existing Credit Agreement and, as such, the Loan Parties have requested that the Agent and the Lenders consent to the consummation of the Subordinated Loan Agreement.</w:t>
      </w:r>
    </w:p>
    <w:p>
      <w:pPr>
        <w:spacing w:after="0" w:line="187"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contained herein and for other good and valuable consideration, the receipt and sufficiency of which are hereby acknowledged, the parties hereto hereby agree as follows:</w:t>
      </w:r>
    </w:p>
    <w:p>
      <w:pPr>
        <w:spacing w:after="0" w:line="67" w:lineRule="exact"/>
        <w:rPr>
          <w:sz w:val="20"/>
          <w:szCs w:val="20"/>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Upon the Second Amendment Effective Date and in reliance on the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w:t>
      </w:r>
    </w:p>
    <w:p>
      <w:pPr>
        <w:spacing w:after="0" w:line="130" w:lineRule="exact"/>
        <w:rPr>
          <w:rFonts w:ascii="Times New Roman" w:cs="Times New Roman" w:eastAsia="Times New Roman" w:hAnsi="Times New Roman"/>
          <w:sz w:val="18"/>
          <w:szCs w:val="18"/>
          <w:color w:val="auto"/>
        </w:rPr>
      </w:pPr>
    </w:p>
    <w:p>
      <w:pPr>
        <w:ind w:left="964" w:right="80" w:hanging="532"/>
        <w:spacing w:after="0" w:line="256" w:lineRule="auto"/>
        <w:tabs>
          <w:tab w:leader="none" w:pos="96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(excluding the schedules and exhibits thereto, which shall remain in full force and effect) is hereby amended, as set forth in the conformed Credit Agreement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and to move from its location the stricken text in green (indicated textually in the same manner as the following example: </w:t>
      </w:r>
      <w:r>
        <w:rPr>
          <w:rFonts w:ascii="Times New Roman" w:cs="Times New Roman" w:eastAsia="Times New Roman" w:hAnsi="Times New Roman"/>
          <w:sz w:val="18"/>
          <w:szCs w:val="18"/>
          <w:color w:val="008000"/>
          <w:strike w:val="1"/>
        </w:rPr>
        <w:t>moved from text</w:t>
      </w:r>
      <w:r>
        <w:rPr>
          <w:rFonts w:ascii="Times New Roman" w:cs="Times New Roman" w:eastAsia="Times New Roman" w:hAnsi="Times New Roman"/>
          <w:sz w:val="18"/>
          <w:szCs w:val="18"/>
          <w:color w:val="auto"/>
        </w:rPr>
        <w:t xml:space="preserve">) and to move into its new location the double-underlined text in green (indicated textually in the same manner as the following example: </w:t>
      </w:r>
      <w:r>
        <w:rPr>
          <w:rFonts w:ascii="Times New Roman" w:cs="Times New Roman" w:eastAsia="Times New Roman" w:hAnsi="Times New Roman"/>
          <w:sz w:val="18"/>
          <w:szCs w:val="18"/>
          <w:u w:val="single" w:color="auto"/>
          <w:color w:val="008000"/>
        </w:rPr>
        <w:t>moved to text</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-271780</wp:posOffset>
            </wp:positionV>
            <wp:extent cx="10369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1905</wp:posOffset>
            </wp:positionV>
            <wp:extent cx="6254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73" w:name="page174"/>
    <w:bookmarkEnd w:id="173"/>
    <w:p>
      <w:pPr>
        <w:ind w:left="540" w:right="240" w:hanging="532"/>
        <w:spacing w:after="0" w:line="282" w:lineRule="auto"/>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definition of “Excluded Property” set forth in Section 1.1 of the Security Agreement is hereby amended and restated in its entirety to read as follows:</w:t>
      </w:r>
    </w:p>
    <w:p>
      <w:pPr>
        <w:spacing w:after="0" w:line="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mean the following:</w:t>
      </w:r>
    </w:p>
    <w:p>
      <w:pPr>
        <w:spacing w:after="0" w:line="117" w:lineRule="exact"/>
        <w:rPr>
          <w:sz w:val="20"/>
          <w:szCs w:val="20"/>
          <w:color w:val="auto"/>
        </w:rPr>
      </w:pPr>
    </w:p>
    <w:p>
      <w:pPr>
        <w:ind w:left="1000" w:right="100" w:firstLine="391"/>
        <w:spacing w:after="0" w:line="253" w:lineRule="auto"/>
        <w:tabs>
          <w:tab w:leader="none" w:pos="162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permit, lease, contract, property rights, or agreement held by any Grantor (i) if the grant of such security interest shall constitute or result in (A) the abandonment, invalidation or unenforceability of any right, title or interest of such Grantor therein or result in such Grantor’s loss of use of such asset or (B) a breach or termination pursuant to the terms of, or a default under, any such license, permit, lease, contract, property rights or agreement (in each case, other than to the extent that any such term would be rendered ineffective pursuant to Sections 9- 406, 9-407, 9-408 or 9-409 of the UCC (or any successor provision or provisions) of any relevant jurisdiction or any other applicable Law (including any Debtor Relief Law) or principles of equity) or</w:t>
      </w:r>
    </w:p>
    <w:p>
      <w:pPr>
        <w:spacing w:after="0" w:line="5" w:lineRule="exact"/>
        <w:rPr>
          <w:rFonts w:ascii="Times New Roman" w:cs="Times New Roman" w:eastAsia="Times New Roman" w:hAnsi="Times New Roman"/>
          <w:sz w:val="18"/>
          <w:szCs w:val="18"/>
          <w:color w:val="auto"/>
        </w:rPr>
      </w:pPr>
    </w:p>
    <w:p>
      <w:pPr>
        <w:ind w:left="1000" w:right="100" w:firstLine="8"/>
        <w:spacing w:after="0" w:line="250" w:lineRule="auto"/>
        <w:tabs>
          <w:tab w:leader="none" w:pos="126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applicable Law prohibits the creation of a security interest therein or thereon (other than to the extent that any such term would be rendered ineffective pursuant to Sections 9- 406, 9-407, 9-408 or 9-409 of the UCC (or any successor provision or provisions) of any relevant jurisdictions or any other applicable Law (including any Debtor Relief Law) or principles of equity);</w:t>
      </w:r>
    </w:p>
    <w:p>
      <w:pPr>
        <w:spacing w:after="0" w:line="1" w:lineRule="exact"/>
        <w:rPr>
          <w:rFonts w:ascii="Times New Roman" w:cs="Times New Roman" w:eastAsia="Times New Roman" w:hAnsi="Times New Roman"/>
          <w:sz w:val="18"/>
          <w:szCs w:val="18"/>
          <w:color w:val="auto"/>
        </w:rPr>
      </w:pPr>
    </w:p>
    <w:p>
      <w:pPr>
        <w:ind w:left="1000" w:firstLine="8"/>
        <w:spacing w:after="0" w:line="255" w:lineRule="auto"/>
        <w:tabs>
          <w:tab w:leader="none" w:pos="12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consisting of intent-to-use trademark applications, for which statement of use has not been filed (but only until such statement is filed and accepted by the United States Patent and Trademark Office so that the interests of a Grantor in such mark is no longer on an intent-to-use basis);</w:t>
      </w:r>
    </w:p>
    <w:p>
      <w:pPr>
        <w:spacing w:after="0" w:line="77" w:lineRule="exact"/>
        <w:rPr>
          <w:rFonts w:ascii="Times New Roman" w:cs="Times New Roman" w:eastAsia="Times New Roman" w:hAnsi="Times New Roman"/>
          <w:sz w:val="18"/>
          <w:szCs w:val="18"/>
          <w:color w:val="auto"/>
        </w:rPr>
      </w:pPr>
    </w:p>
    <w:p>
      <w:pPr>
        <w:ind w:left="1640" w:hanging="249"/>
        <w:spacing w:after="0"/>
        <w:tabs>
          <w:tab w:leader="none" w:pos="16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Foreign Subsidiary Voting Stock;</w:t>
      </w:r>
    </w:p>
    <w:p>
      <w:pPr>
        <w:spacing w:after="0" w:line="117" w:lineRule="exact"/>
        <w:rPr>
          <w:rFonts w:ascii="Times New Roman" w:cs="Times New Roman" w:eastAsia="Times New Roman" w:hAnsi="Times New Roman"/>
          <w:sz w:val="18"/>
          <w:szCs w:val="18"/>
          <w:color w:val="auto"/>
        </w:rPr>
      </w:pPr>
    </w:p>
    <w:p>
      <w:pPr>
        <w:ind w:left="1640" w:hanging="249"/>
        <w:spacing w:after="0"/>
        <w:tabs>
          <w:tab w:leader="none" w:pos="16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of, and all Equity Interests of, an Alternate Business Subsidiary; and</w:t>
      </w:r>
    </w:p>
    <w:p>
      <w:pPr>
        <w:spacing w:after="0" w:line="117" w:lineRule="exact"/>
        <w:rPr>
          <w:rFonts w:ascii="Times New Roman" w:cs="Times New Roman" w:eastAsia="Times New Roman" w:hAnsi="Times New Roman"/>
          <w:sz w:val="18"/>
          <w:szCs w:val="18"/>
          <w:color w:val="auto"/>
        </w:rPr>
      </w:pPr>
    </w:p>
    <w:p>
      <w:pPr>
        <w:ind w:left="1640" w:hanging="249"/>
        <w:spacing w:after="0"/>
        <w:tabs>
          <w:tab w:leader="none" w:pos="16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Account described in clause (b) or (c) of the definition thereof;</w:t>
      </w:r>
    </w:p>
    <w:p>
      <w:pPr>
        <w:spacing w:after="0" w:line="117" w:lineRule="exact"/>
        <w:rPr>
          <w:sz w:val="20"/>
          <w:szCs w:val="20"/>
          <w:color w:val="auto"/>
        </w:rPr>
      </w:pPr>
    </w:p>
    <w:p>
      <w:pPr>
        <w:ind w:left="100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described in clauses (a) and (b) of this definition, such property shall constitute “Excluded Property” only to the extent and for so long as such license, permit, lease, contract, property rights or agreement or applicable Law validly prohibits the creation of a Lien on such property in favor of the Agent and, upon the termination of such prohibition (howsoever occurring), such property shall cease to constitute “Excluded Property”;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“Excluded Property” shall not include (i) any assets that are of the type that may be eligible for inclusion in the Borrowing Base, or (ii) the right to receive any proceeds arising therefrom or any other rights referred to in Sections 9-406(f), 9-407(a) or 9-408(a) of the UCC, any other applicable Law (including the Bankruptcy Code, as now constituted or hereafter amended or any other Debtor Relief Laws) or principles of equity, or any Proceeds, substitutions or replacements of any Excluded Property (unless such Proceeds, substitutions or replacements would otherwise constitute Excluded Property).</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860" w:top="270" w:right="439" w:bottom="1440" w:gutter="0" w:footer="0" w:header="0"/>
        </w:sectPr>
      </w:pPr>
    </w:p>
    <w:bookmarkStart w:id="174" w:name="page175"/>
    <w:bookmarkEnd w:id="174"/>
    <w:p>
      <w:pPr>
        <w:ind w:left="424" w:right="80" w:hanging="424"/>
        <w:spacing w:after="0" w:line="266" w:lineRule="auto"/>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Precedent to Effectiveness</w:t>
      </w:r>
      <w:r>
        <w:rPr>
          <w:rFonts w:ascii="Times New Roman" w:cs="Times New Roman" w:eastAsia="Times New Roman" w:hAnsi="Times New Roman"/>
          <w:sz w:val="18"/>
          <w:szCs w:val="18"/>
          <w:color w:val="auto"/>
        </w:rPr>
        <w:t>. This Amendment shall not be effective until each of the following conditions precedent has been fulfilled to the satisfaction of the Agent (unless otherwise waived by the Agent in writing in its sole discretion) (the date of satisfaction of such conditions, the “</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the following:</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duly executed and delivered by the Agent, the Lenders and the Loan Parties;</w:t>
      </w:r>
    </w:p>
    <w:p>
      <w:pPr>
        <w:spacing w:after="0" w:line="130"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Responsible Officers of each Loan Party as the Agent may require evidencing the authority of such party to enter into this Amendment and the other Loan Documents to which such Person is a party or is to become a party;</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Loan Agreement, duly executed and delivered by the Borrower and the Subordinated Creditor; and</w:t>
      </w:r>
    </w:p>
    <w:p>
      <w:pPr>
        <w:spacing w:after="0" w:line="130"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Subordination Agreement, duly executed and delivered by the Agent and the Subordinated Creditor and acknowledged by the Loan Parties;</w:t>
      </w:r>
    </w:p>
    <w:p>
      <w:pPr>
        <w:spacing w:after="0" w:line="67"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in full all fees and expenses for which invoices have been presented (including, without limitation, the fees and expenses of counsel to the Agent);</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shall be true and correct in all respects on and as of the Second Amendment Effective Date; and</w:t>
      </w:r>
    </w:p>
    <w:p>
      <w:pPr>
        <w:spacing w:after="0" w:line="67" w:lineRule="exact"/>
        <w:rPr>
          <w:sz w:val="20"/>
          <w:szCs w:val="20"/>
          <w:color w:val="auto"/>
        </w:rPr>
      </w:pPr>
    </w:p>
    <w:p>
      <w:pPr>
        <w:ind w:left="964" w:right="220" w:hanging="532"/>
        <w:spacing w:after="0" w:line="282" w:lineRule="auto"/>
        <w:tabs>
          <w:tab w:leader="none" w:pos="96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occur as a result of the consummation of the transactions contemplated by this Amendment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Agent and the Lenders that:</w:t>
      </w:r>
    </w:p>
    <w:p>
      <w:pPr>
        <w:spacing w:after="0" w:line="130" w:lineRule="exact"/>
        <w:rPr>
          <w:rFonts w:ascii="Times New Roman" w:cs="Times New Roman" w:eastAsia="Times New Roman" w:hAnsi="Times New Roman"/>
          <w:sz w:val="18"/>
          <w:szCs w:val="18"/>
          <w:color w:val="auto"/>
        </w:rPr>
      </w:pPr>
    </w:p>
    <w:p>
      <w:pPr>
        <w:ind w:left="964" w:right="40" w:hanging="532"/>
        <w:spacing w:after="0" w:line="256" w:lineRule="auto"/>
        <w:tabs>
          <w:tab w:leader="none" w:pos="96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such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Amended Credit Agreement or in any other Loan Document, or which are contained in any document furnished at any time under or in connection therewith, are true and correct (i) in the case of the representations and warranties qualified as to materiality, in all respects and (ii) otherwise, in all material respects, in each case, on and as of the Second Amendment Effective Date, except to the extent that such representations and warranties specifically refer to an earlier date, in which case they are true and correct (i) in the case of the representations and warranties qualified as to materiality, in all respects, and (ii) otherwise, in all material respects, in each case, as of such earlier date;</w:t>
      </w:r>
    </w:p>
    <w:p>
      <w:pPr>
        <w:spacing w:after="0" w:line="92" w:lineRule="exact"/>
        <w:rPr>
          <w:rFonts w:ascii="Times New Roman" w:cs="Times New Roman" w:eastAsia="Times New Roman" w:hAnsi="Times New Roman"/>
          <w:sz w:val="18"/>
          <w:szCs w:val="18"/>
          <w:color w:val="auto"/>
        </w:rPr>
      </w:pPr>
    </w:p>
    <w:p>
      <w:pPr>
        <w:ind w:left="964" w:right="600" w:hanging="532"/>
        <w:spacing w:after="0" w:line="282" w:lineRule="auto"/>
        <w:tabs>
          <w:tab w:leader="none" w:pos="96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has all requisite power and authority and all requisite governmental licenses, permits, authorizations, consents and approvals to execute, deliver and perform its obligations under this Amendment;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75" w:name="page176"/>
    <w:bookmarkEnd w:id="175"/>
    <w:p>
      <w:pPr>
        <w:ind w:left="964" w:right="300" w:hanging="532"/>
        <w:spacing w:after="0" w:line="261"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by such Loan Party of this Amendment has been duly authorized by all necessary corporate or other organizational action, and does not and will not (i) contravene the terms of any of such Loan Party’s Organization Documents;</w:t>
      </w:r>
    </w:p>
    <w:p>
      <w:pPr>
        <w:ind w:left="96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conflict with or result in any breach, termination, or contravention of, or constitute a default under, or require any payment to be made under (x) any Material Contract or any Material Indebtedness to which such Loan Party is a party or affecting such Loan Party or the properties of such Loan Party or any of its Subsidiaries or (y) any order, injunction, writ or decree of any Governmental Authority or any arbitral award to which such Loan Party or its property is subject; or (iii) violate any Law except where such violation could not reasonably be expected to have a Material Adverse Effect;</w:t>
      </w:r>
    </w:p>
    <w:p>
      <w:pPr>
        <w:spacing w:after="0" w:line="92"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a legal, valid and binding obligation of such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81"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and is continuing or would result from the consummation of the transactions contemplated by this Amendment.</w:t>
      </w:r>
    </w:p>
    <w:p>
      <w:pPr>
        <w:spacing w:after="0" w:line="67"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Loan Documents; Ratification</w:t>
      </w:r>
      <w:r>
        <w:rPr>
          <w:rFonts w:ascii="Times New Roman" w:cs="Times New Roman" w:eastAsia="Times New Roman" w:hAnsi="Times New Roman"/>
          <w:sz w:val="18"/>
          <w:szCs w:val="18"/>
          <w:color w:val="auto"/>
        </w:rPr>
        <w:t>. The Amended Credit Agreement and the other Loan Documents, after giving effect to this Amendment, shall be and remain in full force and effect in accordance with their terms and hereby are ratified and confirmed in all respects. Except as expressly set forth herein, the execution, delivery, and performance of this Amendment shall not operate as a waiver of any right, power, or remedy of the Agent or any other Credit Party under the Existing Credit Agreement or any other Loan Document, as in effect prior to the Second Amendment Effective Date. After giving effect to this Amendment and the transactions contemplated hereunder, each Loan Party hereby ratifies and confirms in all respects all of its obligations under the Loan Documents to which it is a party and any prior grant of a security interest under the Loan Documents to which it is party. This Amendment is not a novation or discharge of the obligations of the Loan Parties under the Existing Credit Agreement and the other Loan Documents.</w:t>
      </w:r>
    </w:p>
    <w:p>
      <w:pPr>
        <w:spacing w:after="0" w:line="97"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Present Claims; Release</w:t>
      </w:r>
      <w:r>
        <w:rPr>
          <w:rFonts w:ascii="Times New Roman" w:cs="Times New Roman" w:eastAsia="Times New Roman" w:hAnsi="Times New Roman"/>
          <w:sz w:val="18"/>
          <w:szCs w:val="18"/>
          <w:color w:val="auto"/>
        </w:rPr>
        <w:t>. Each Loan Party acknowledges and agrees that as of the date hereof: (a) it does not have any claim or cause of action against the Agent, any Lender or any of their respective Affiliates (or any of the Agent’s, any Lender’s or any of their respective Affiliates’ directors, officers, employees, agents, subsidiaries, attorneys, attorneys’ consultants, predecessors, successors or assigns)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and (b) it does not have any offset right, counterclaim, or defense of any kind against the Obligations or any portion thereof. The Agent and each Lender intends (and each Loan Party agrees) to eliminate any possibility that any past conditions, acts, omissions, events, or circumstances would impair or otherwise adversely affect any of the rights, interests, security and/or remedies of the Agent and each Lender. For and in consideration of the agreements contained in this Amendment and other good and valuable consideration, each Loan Party unconditionally and irrevocably releases, waives, and forever discharges the Released Parties from the following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 any and all liabilities, obligations, duties, promises, or indebtedness of any kind (if any) of the Released Parties to any one or more of the Loan Parties, which existed, arose, or occurred at any time from the beginning of the world to the date of this Amendment, and (y) all claims, offsets, causes of action, suits, or defenses of any kind whatsoever (if any), which any one or more of the Loan Parties might otherwise have against the Released Parties, or any of them, in either case under clause (x) or (y) on account of any condition, act, omission, event, contract, liability, obligation, indebtedness,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76" w:name="page177"/>
    <w:bookmarkEnd w:id="176"/>
    <w:p>
      <w:pPr>
        <w:ind w:left="42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claim, cause of action, defense, circumstance, or matter of any kind, which existed, arose, or occurred at any time from the beginning of the world to the date of this Amendment in connection with the Loan Documents or any of the transactions contemplated hereby and thereby. In entering into this Amendment, each Loan Party (i) acknowledges and agrees that it has had the opportunity to consult with counsel, (ii) acknowledges and agrees that the releases set forth herein were separately bargained for and expressly consents that these releases shall be given full force and effect in accordance with each and all of their express terms and provisions, (iii) expressly disclaims any reliance on any representations, acts or omissions by the Agent, any Lender or any other Released Party, and (iv) agrees and acknowledges that the validity and effectiveness of the releases set forth herein do not depend in any way on any such representation, acts and/or omissions or the accuracy, completeness or validity thereof. Notwithstanding anything contained herein to the contrary and unless otherwise agreed to by the Loan Parties after the date hereof, the Loan Parties are not releasing the Released Parties with respect to their obligations to be performed on and after the date of this Amendment arising under this Amendment, the Amended Credit Agreement or any other Loan Document.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survive payment in full of all Obligations and termination of the Aggregate Revolving Commitments.</w:t>
      </w:r>
    </w:p>
    <w:p>
      <w:pPr>
        <w:spacing w:after="0" w:line="97" w:lineRule="exact"/>
        <w:rPr>
          <w:sz w:val="20"/>
          <w:szCs w:val="20"/>
          <w:color w:val="auto"/>
        </w:rPr>
      </w:pPr>
    </w:p>
    <w:p>
      <w:pPr>
        <w:ind w:left="424" w:hanging="424"/>
        <w:spacing w:after="0"/>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the execution, delivery and effectiveness of this Amendment shall not operate as a waiver of any right, power or remedy of any Lender or the Agent under any of the Loan Documents, nor constitute a waiver of any provision of any of the Loan Documents. Except as expressly set forth herein, nothing contained in this Amendment and no action by, or inaction on the part of, any Lender or the Agent shall, or shall be deemed to, directly or indirectly constitute a consent to or waiver of any past, present or future violation of any provisions of any Loan Document.</w:t>
      </w:r>
    </w:p>
    <w:p>
      <w:pPr>
        <w:spacing w:after="0" w:line="88"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pdf., or other electronic transmission shall be as effective as delivery of a manually executed counterpart of this Amendment.</w:t>
      </w:r>
    </w:p>
    <w:p>
      <w:pPr>
        <w:spacing w:after="0" w:line="85" w:lineRule="exact"/>
        <w:rPr>
          <w:rFonts w:ascii="Times New Roman" w:cs="Times New Roman" w:eastAsia="Times New Roman" w:hAnsi="Times New Roman"/>
          <w:sz w:val="18"/>
          <w:szCs w:val="18"/>
          <w:color w:val="auto"/>
        </w:rPr>
      </w:pPr>
    </w:p>
    <w:p>
      <w:pPr>
        <w:ind w:left="964" w:right="380" w:hanging="532"/>
        <w:spacing w:after="0" w:line="266" w:lineRule="auto"/>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other Loan Documents (as amended hereby) constitute the entire contract among the parties relating to the subject matter hereof and supersede any and all previous agreements and understandings, oral or written, relating to the subject matter hereof.</w:t>
      </w:r>
    </w:p>
    <w:p>
      <w:pPr>
        <w:spacing w:after="0" w:line="81" w:lineRule="exact"/>
        <w:rPr>
          <w:rFonts w:ascii="Times New Roman" w:cs="Times New Roman" w:eastAsia="Times New Roman" w:hAnsi="Times New Roman"/>
          <w:sz w:val="18"/>
          <w:szCs w:val="18"/>
          <w:color w:val="auto"/>
        </w:rPr>
      </w:pPr>
    </w:p>
    <w:p>
      <w:pPr>
        <w:ind w:left="964" w:right="180" w:hanging="532"/>
        <w:spacing w:after="0" w:line="258" w:lineRule="auto"/>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Amendment is held to be illegal, invalid or unenforceable, (i) the legality, validity and enforceability of the remaining provisions of this Amendment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88"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Amendment shall be binding upon and inure to the benefit of the parties hereto and their successors and assigns.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and shall constitute a Loan Document.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77" w:name="page178"/>
    <w:bookmarkEnd w:id="177"/>
    <w:p>
      <w:pPr>
        <w:ind w:left="540" w:right="360" w:hanging="532"/>
        <w:spacing w:after="0" w:line="282" w:lineRule="auto"/>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 and captions used in this Amendment are included for convenience of reference only and shall not be given any substantive effect.</w:t>
      </w:r>
    </w:p>
    <w:p>
      <w:pPr>
        <w:spacing w:after="0" w:line="67" w:lineRule="exact"/>
        <w:rPr>
          <w:rFonts w:ascii="Times New Roman" w:cs="Times New Roman" w:eastAsia="Times New Roman" w:hAnsi="Times New Roman"/>
          <w:sz w:val="18"/>
          <w:szCs w:val="18"/>
          <w:color w:val="auto"/>
        </w:rPr>
      </w:pPr>
    </w:p>
    <w:p>
      <w:pPr>
        <w:jc w:val="both"/>
        <w:ind w:left="540" w:hanging="532"/>
        <w:spacing w:after="0" w:line="266" w:lineRule="auto"/>
        <w:tabs>
          <w:tab w:leader="none" w:pos="5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 WITHOUT GIVING EFFECT TO THE CONFLICTS OF LAWS PRINCIPLES THEREOF, BUT INCLUDING SECTION 5-1401 OF THE NEW YORK GENERAL OBLIGATIONS LAW.</w:t>
      </w:r>
    </w:p>
    <w:p>
      <w:pPr>
        <w:spacing w:after="0" w:line="1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20"/>
          </w:cols>
          <w:pgMar w:left="860" w:top="270" w:right="519" w:bottom="1440" w:gutter="0" w:footer="0" w:header="0"/>
        </w:sectPr>
      </w:pPr>
    </w:p>
    <w:bookmarkStart w:id="178" w:name="page179"/>
    <w:bookmarkEnd w:id="178"/>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Amendment to be duly executed and delivered by its proper and duly authorized officer as of the date set forth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ALLBIRDS, INC., </w:t>
      </w:r>
      <w:r>
        <w:rPr>
          <w:rFonts w:ascii="Times New Roman" w:cs="Times New Roman" w:eastAsia="Times New Roman" w:hAnsi="Times New Roman"/>
          <w:sz w:val="18"/>
          <w:szCs w:val="18"/>
          <w:color w:val="auto"/>
        </w:rPr>
        <w:t>as the Borrower</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 xml:space="preserve">ALLBIRDS INTERNATIONAL, INC., </w:t>
      </w:r>
      <w:r>
        <w:rPr>
          <w:rFonts w:ascii="Times New Roman" w:cs="Times New Roman" w:eastAsia="Times New Roman" w:hAnsi="Times New Roman"/>
          <w:sz w:val="17"/>
          <w:szCs w:val="17"/>
          <w:color w:val="auto"/>
        </w:rPr>
        <w:t>as a Guarantor</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Second Amendment to Credit Agreement and Other Loan Documents]</w:t>
      </w:r>
    </w:p>
    <w:p>
      <w:pPr>
        <w:sectPr>
          <w:pgSz w:w="11900" w:h="16838" w:orient="portrait"/>
          <w:cols w:equalWidth="0" w:num="1">
            <w:col w:w="10700"/>
          </w:cols>
          <w:pgMar w:left="440" w:top="270" w:right="759" w:bottom="1440" w:gutter="0" w:footer="0" w:header="0"/>
        </w:sectPr>
      </w:pPr>
    </w:p>
    <w:bookmarkStart w:id="179" w:name="page180"/>
    <w:bookmarkEnd w:id="179"/>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AND LENDERS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SECOND AVENUE CAPITAL PARTNERS LLC, </w:t>
      </w:r>
      <w:r>
        <w:rPr>
          <w:rFonts w:ascii="Times New Roman" w:cs="Times New Roman" w:eastAsia="Times New Roman" w:hAnsi="Times New Roman"/>
          <w:sz w:val="17"/>
          <w:szCs w:val="17"/>
          <w:color w:val="auto"/>
        </w:rPr>
        <w:t>as the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and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Gallivan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Gallivan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Signer</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[Signature Page to Second Amendment to Credit Agreement and Other Loan Documents]</w:t>
      </w:r>
    </w:p>
    <w:p>
      <w:pPr>
        <w:sectPr>
          <w:pgSz w:w="11900" w:h="16838" w:orient="portrait"/>
          <w:cols w:equalWidth="0" w:num="1">
            <w:col w:w="9900"/>
          </w:cols>
          <w:pgMar w:left="1440" w:top="270" w:right="55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Conformed Credit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9019"/>
          </w:cols>
          <w:pgMar w:left="1440" w:top="266" w:right="1440" w:bottom="1440" w:gutter="0" w:footer="0" w:header="0"/>
        </w:sectPr>
      </w:pPr>
    </w:p>
    <w:bookmarkStart w:id="181" w:name="page182"/>
    <w:bookmarkEnd w:id="181"/>
    <w:p>
      <w:pPr>
        <w:ind w:left="1008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SUBORDINATION AGREEMENT</w:t>
      </w:r>
    </w:p>
    <w:p>
      <w:pPr>
        <w:spacing w:after="0" w:line="22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This Subordination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April 19, 2026, by and between [*], as collateral agent for the holders of the Subordinated Loan Documents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and SECOND AVENUE CAPITAL PARTNERS LLC, as administrative agent and collateral agent under the Senior Loan Agreement referred to below,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 ALLBIRDS, INC., a Delaware public benefit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(as defined in the Senior Loan Agreement) from time to time party thereto (together with Borrower, each, a “</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for avoidance of doubt, New Subsidiary (as defined below) shall not be a Loan Party), each Lender (as defined in the Senior Loan Agreement) from time to time party thereto and the Agent are parties to that certain Credit Agreement, dated as of June 30, 2025 (as amended, restated, modified or supplemented from time to time,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Senior Loan Agreement</w:t>
      </w:r>
      <w:r>
        <w:rPr>
          <w:rFonts w:ascii="Times New Roman" w:cs="Times New Roman" w:eastAsia="Times New Roman" w:hAnsi="Times New Roman"/>
          <w:sz w:val="18"/>
          <w:szCs w:val="18"/>
          <w:color w:val="auto"/>
        </w:rPr>
        <w:t>”), pursuant to which the Agent and the Lenders have committed to make loans and provide other financial accommodations to Borrower on the terms and conditions set forth therein. The term “</w:t>
      </w:r>
      <w:r>
        <w:rPr>
          <w:rFonts w:ascii="Times New Roman" w:cs="Times New Roman" w:eastAsia="Times New Roman" w:hAnsi="Times New Roman"/>
          <w:sz w:val="18"/>
          <w:szCs w:val="18"/>
          <w:u w:val="single" w:color="auto"/>
          <w:color w:val="auto"/>
        </w:rPr>
        <w:t>Senior Loan Documents</w:t>
      </w:r>
      <w:r>
        <w:rPr>
          <w:rFonts w:ascii="Times New Roman" w:cs="Times New Roman" w:eastAsia="Times New Roman" w:hAnsi="Times New Roman"/>
          <w:sz w:val="18"/>
          <w:szCs w:val="18"/>
          <w:color w:val="auto"/>
        </w:rPr>
        <w:t>” shall mean the Senior Loan Agreement and the other Loan Documents (as defined in the Senior Loan Agreement). Capitalized terms used herein and not otherwise defined herein shall have the same meaning as in the Senior Loan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Borrower and Creditor have entered into that certain Amended and Restated Securities Purchase Agreement, dated as of April 19, 2026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amended, restated, modified or supplemented from time to time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Subordinated Loan Agreement</w:t>
      </w:r>
      <w:r>
        <w:rPr>
          <w:rFonts w:ascii="Times New Roman" w:cs="Times New Roman" w:eastAsia="Times New Roman" w:hAnsi="Times New Roman"/>
          <w:sz w:val="18"/>
          <w:szCs w:val="18"/>
          <w:color w:val="auto"/>
        </w:rPr>
        <w:t>”),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may issue certain Senior Secured Convertible Notes to Creditor, in an aggregate initial principal amount of up to $50,000,000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Convertible Notes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Subordinated Loan Documents</w:t>
      </w:r>
      <w:r>
        <w:rPr>
          <w:rFonts w:ascii="Times New Roman" w:cs="Times New Roman" w:eastAsia="Times New Roman" w:hAnsi="Times New Roman"/>
          <w:sz w:val="18"/>
          <w:szCs w:val="18"/>
          <w:color w:val="auto"/>
        </w:rPr>
        <w:t>” shall mean the Subordinated Loan Agreement and the other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(as defined in the Subordinated Loan Agreement).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collectively, Borrower and each Guarantor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Subordinated Loan Documents) from time to time party to any Subordinated Loan Document, except for NEWBIRD AI, LLC,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u w:val="single" w:color="auto"/>
          <w:color w:val="auto"/>
        </w:rPr>
        <w:t>New Subsidiary</w:t>
      </w:r>
      <w:r>
        <w:rPr>
          <w:rFonts w:ascii="Times New Roman" w:cs="Times New Roman" w:eastAsia="Times New Roman" w:hAnsi="Times New Roman"/>
          <w:sz w:val="18"/>
          <w:szCs w:val="18"/>
          <w:color w:val="auto"/>
        </w:rPr>
        <w:t>”). Borrower and New Subsidiary have executed that certain Security and Pledge Agreement in favor of Creditor,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even date herewith, which grants to Creditor a lien on, among other things, Borrower’s Equity Interests in New Subsidiary (the “</w:t>
      </w:r>
      <w:r>
        <w:rPr>
          <w:rFonts w:ascii="Times New Roman" w:cs="Times New Roman" w:eastAsia="Times New Roman" w:hAnsi="Times New Roman"/>
          <w:sz w:val="18"/>
          <w:szCs w:val="18"/>
          <w:u w:val="single" w:color="auto"/>
          <w:color w:val="auto"/>
        </w:rPr>
        <w:t>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Subsidiary Equity</w:t>
      </w:r>
      <w:r>
        <w:rPr>
          <w:rFonts w:ascii="Times New Roman" w:cs="Times New Roman" w:eastAsia="Times New Roman" w:hAnsi="Times New Roman"/>
          <w:sz w:val="18"/>
          <w:szCs w:val="18"/>
          <w:color w:val="auto"/>
        </w:rPr>
        <w:t>”) and all the assets of New Subsidiary (the “</w:t>
      </w:r>
      <w:r>
        <w:rPr>
          <w:rFonts w:ascii="Times New Roman" w:cs="Times New Roman" w:eastAsia="Times New Roman" w:hAnsi="Times New Roman"/>
          <w:sz w:val="18"/>
          <w:szCs w:val="18"/>
          <w:u w:val="single" w:color="auto"/>
          <w:color w:val="auto"/>
        </w:rPr>
        <w:t>New Subsidiary Assets</w:t>
      </w:r>
      <w:r>
        <w:rPr>
          <w:rFonts w:ascii="Times New Roman" w:cs="Times New Roman" w:eastAsia="Times New Roman" w:hAnsi="Times New Roman"/>
          <w:sz w:val="18"/>
          <w:szCs w:val="18"/>
          <w:color w:val="auto"/>
        </w:rPr>
        <w:t>” and, together with the New Subsidiary Equity,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Loan Priority Collateral</w:t>
      </w:r>
      <w:r>
        <w:rPr>
          <w:rFonts w:ascii="Times New Roman" w:cs="Times New Roman" w:eastAsia="Times New Roman" w:hAnsi="Times New Roman"/>
          <w:sz w:val="18"/>
          <w:szCs w:val="18"/>
          <w:color w:val="auto"/>
        </w:rPr>
        <w:t>”; the Subordinated Loan Priority Collateral together with all other assets on which the Creditor has a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Subordinated Loan Documents, the “</w:t>
      </w:r>
      <w:r>
        <w:rPr>
          <w:rFonts w:ascii="Times New Roman" w:cs="Times New Roman" w:eastAsia="Times New Roman" w:hAnsi="Times New Roman"/>
          <w:sz w:val="18"/>
          <w:szCs w:val="18"/>
          <w:u w:val="single" w:color="auto"/>
          <w:color w:val="auto"/>
        </w:rPr>
        <w:t>Subordinated Loan Collateral</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C. In order to induce Agent and Lenders to extend credit to Borrower and, at any time or from time to time at Agent’s option, to make such further loans, extensions of credit or other accommodations to or for the account of Borrower, or to purchase or extend credit upon any instrument or writing in respect of which Borrower may be liable in any capacity, or to grant such renewals or extension of any such loan, extension of credit, purchase or other accommodation as Agent may deem advisable, Creditor is willing to subordinate: (i) all of Company’s indebtedness and obligations to Creditor arising under the Subordinated Loan Documents (the “</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to all of each Loan Party’s indebtedness and obligations to Agent arising under the Senior Debt (as defined below); and (ii) all of Creditor’s security interests in Company’s assets and property (other than the New Subsidiary Equity), to all of Agent’s security interests in each Loan Party’s assets and property.</w:t>
      </w:r>
    </w:p>
    <w:p>
      <w:pPr>
        <w:sectPr>
          <w:pgSz w:w="11900" w:h="16838" w:orient="portrait"/>
          <w:cols w:equalWidth="0" w:num="1">
            <w:col w:w="11020"/>
          </w:cols>
          <w:pgMar w:left="440" w:top="117" w:right="439" w:bottom="1440" w:gutter="0" w:footer="0" w:header="0"/>
        </w:sectPr>
      </w:pPr>
    </w:p>
    <w:bookmarkStart w:id="182" w:name="page183"/>
    <w:bookmarkEnd w:id="18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THE PARTIES AGREE AS FOLLOWS:</w:t>
      </w:r>
    </w:p>
    <w:p>
      <w:pPr>
        <w:spacing w:after="0" w:line="117" w:lineRule="exact"/>
        <w:rPr>
          <w:sz w:val="20"/>
          <w:szCs w:val="20"/>
          <w:color w:val="auto"/>
        </w:rPr>
      </w:pPr>
    </w:p>
    <w:p>
      <w:pPr>
        <w:ind w:left="624" w:hanging="184"/>
        <w:spacing w:after="0"/>
        <w:tabs>
          <w:tab w:leader="none" w:pos="62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 subordinates to Agent any security interest or lien that Creditor may have in any property of the Loan Parties (other than the</w:t>
      </w:r>
    </w:p>
    <w:p>
      <w:pPr>
        <w:spacing w:after="0" w:line="27" w:lineRule="exact"/>
        <w:rPr>
          <w:rFonts w:ascii="Times New Roman" w:cs="Times New Roman" w:eastAsia="Times New Roman" w:hAnsi="Times New Roman"/>
          <w:sz w:val="18"/>
          <w:szCs w:val="18"/>
          <w:color w:val="auto"/>
        </w:rPr>
      </w:pPr>
    </w:p>
    <w:p>
      <w:pPr>
        <w:ind w:left="4"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Loan Priority Collateral). Agent acknowledges and agrees that Agent has no lien on or security interest in any of the Subordinated Loan Priority Collateral. Notwithstanding the respective dates, order or time of attachment or perfection of the security interest of Creditor and the security interest of Agent, the security interest of Agent in the Collateral (as defined in the Senior Loan Agreement) shall at all times be prior to the security interest of Creditor. The lien priorities set forth in the immediately preceding sentence shall not be altered or otherwise affected by any failure to perfect Agent’s security interest in the Collateral or Creditor’s security interest in the Subordinated Loan Priority Collateral, by the avoidance or invalidation of Agent’s or Creditor’s security interest or by any other action or inaction which Agent or Creditor, as applicable, may take or fail to take with respect to the Collateral or Subordinated Loan Priority Collateral, as applicable.</w:t>
      </w:r>
    </w:p>
    <w:p>
      <w:pPr>
        <w:spacing w:after="0" w:line="188" w:lineRule="exact"/>
        <w:rPr>
          <w:rFonts w:ascii="Times New Roman" w:cs="Times New Roman" w:eastAsia="Times New Roman" w:hAnsi="Times New Roman"/>
          <w:sz w:val="18"/>
          <w:szCs w:val="18"/>
          <w:color w:val="auto"/>
        </w:rPr>
      </w:pPr>
    </w:p>
    <w:p>
      <w:pPr>
        <w:ind w:left="4" w:right="120" w:firstLine="436"/>
        <w:spacing w:after="0" w:line="253" w:lineRule="auto"/>
        <w:tabs>
          <w:tab w:leader="none" w:pos="62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Other than to the extent set forth herein, all Subordinated Debt is subordinated in right of payment to all obligations of the Loan Parties to Agent constituting Senior Debt (as defined below). “</w:t>
      </w:r>
      <w:r>
        <w:rPr>
          <w:rFonts w:ascii="Times New Roman" w:cs="Times New Roman" w:eastAsia="Times New Roman" w:hAnsi="Times New Roman"/>
          <w:sz w:val="18"/>
          <w:szCs w:val="18"/>
          <w:u w:val="single" w:color="auto"/>
          <w:color w:val="auto"/>
        </w:rPr>
        <w:t>Senior Debt</w:t>
      </w:r>
      <w:r>
        <w:rPr>
          <w:rFonts w:ascii="Times New Roman" w:cs="Times New Roman" w:eastAsia="Times New Roman" w:hAnsi="Times New Roman"/>
          <w:sz w:val="18"/>
          <w:szCs w:val="18"/>
          <w:color w:val="auto"/>
        </w:rPr>
        <w:t>” means any and all indebtedness and obligations for borrowed money (including, without limitation, principal, premium (if any), interest, fees, charges, expenses, costs, professional fees and expenses, and reimbursement obligations) at any time owing by any Loan Party to Agent under the Senior Loan Documents (including, without limitation, the Obligations), including but not limited to any post-petition interest, post-petition fees and other charges accruing after the filing of any Insolvency Proceeding relating to any Loan Party, whether or not a claim for post-filing or post-petition interest, fees and charges is allowed in such Insolvency Proceeding and such amounts as may accrue or be incurred before or after a default or workout or the commencement of any liquidation, dissolution, bankruptcy, receivership or reorganization case by or against any Loan Party. Notwithstanding the foregoing, or anything to the contrary herein, the aggregate principal amount of Senior Debt shall not exceed Fifty-Five Million Dollars ($55,000,000) (the “</w:t>
      </w:r>
      <w:r>
        <w:rPr>
          <w:rFonts w:ascii="Times New Roman" w:cs="Times New Roman" w:eastAsia="Times New Roman" w:hAnsi="Times New Roman"/>
          <w:sz w:val="18"/>
          <w:szCs w:val="18"/>
          <w:u w:val="single" w:color="auto"/>
          <w:color w:val="auto"/>
        </w:rPr>
        <w:t>Senior Debt Cap</w:t>
      </w:r>
      <w:r>
        <w:rPr>
          <w:rFonts w:ascii="Times New Roman" w:cs="Times New Roman" w:eastAsia="Times New Roman" w:hAnsi="Times New Roman"/>
          <w:sz w:val="18"/>
          <w:szCs w:val="18"/>
          <w:color w:val="auto"/>
        </w:rPr>
        <w:t>”). For the avoidance of doubt, (x) interest, fees, premium (if any), charges, expenses, costs, professional fees and expenses, and reimbursement obligations (collectively, “</w:t>
      </w:r>
      <w:r>
        <w:rPr>
          <w:rFonts w:ascii="Times New Roman" w:cs="Times New Roman" w:eastAsia="Times New Roman" w:hAnsi="Times New Roman"/>
          <w:sz w:val="18"/>
          <w:szCs w:val="18"/>
          <w:u w:val="single" w:color="auto"/>
          <w:color w:val="auto"/>
        </w:rPr>
        <w:t>Excluded Obligations</w:t>
      </w:r>
      <w:r>
        <w:rPr>
          <w:rFonts w:ascii="Times New Roman" w:cs="Times New Roman" w:eastAsia="Times New Roman" w:hAnsi="Times New Roman"/>
          <w:sz w:val="18"/>
          <w:szCs w:val="18"/>
          <w:color w:val="auto"/>
        </w:rPr>
        <w:t>”) shall not be subject to the Senior Debt Cap, (y) Excluded Obligations shall be treated as Senior Debt for purposes of this Agreement and (z) nothing in this Agreement shall prevent the payment of the Subordinated Debt by the New Subsidiary.</w:t>
      </w:r>
    </w:p>
    <w:p>
      <w:pPr>
        <w:spacing w:after="0" w:line="189"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date, manner or order of grant, attachment of perfection of any lien of Agent on Collateral securing any Senior Debt or any lien of Creditor on the Subordinated Loan Collateral securing any Subordinated Debt and notwithstanding any provision of the UCC, any applicable law or any Senior Loan Documents or Subordinated Loan Documents, Agent and Creditor hereby agree that (i) the liens in favor of Agent securing the Senior Debt in respect of the Collateral, regardless of how acquired, whether by grant, statute, operation of law, subrogation or otherwise, shall be and shall remain senior and prior to any liens in favor of Creditor securing the Subordinated Debt in respect of the Collateral, (ii) any liens in favor of Creditor securing the Subordinated Debt in respect of the Collateral, regardless of how acquired, whether by grant, statute, operation of law, subrogation or otherwise, shall be junior and subordinate in all respects to the liens in favor of Agent securing the Senior Debt in respect of the Collateral and (iii) Agent has no lien on the Subordinated Loan Priority Collateral. Without limiting the generality of the foregoing, it is expressly agreed that all proceeds of (i) Collateral received by Agent or Creditor shall be paid over to Agent for application to the Senior Debt until the Senior Debt (other than each Loan Party’s contingent indemnity, contribution or reimbursement obligations which by their terms survive the termination of the Senior Loan Agreement) is finally paid in full in cash and all commitments to lend under the Senior Loan Agreement have terminated and</w:t>
      </w:r>
    </w:p>
    <w:p>
      <w:pPr>
        <w:spacing w:after="0" w:line="3" w:lineRule="exact"/>
        <w:rPr>
          <w:rFonts w:ascii="Times New Roman" w:cs="Times New Roman" w:eastAsia="Times New Roman" w:hAnsi="Times New Roman"/>
          <w:sz w:val="18"/>
          <w:szCs w:val="18"/>
          <w:color w:val="auto"/>
        </w:rPr>
      </w:pPr>
    </w:p>
    <w:p>
      <w:pPr>
        <w:ind w:left="4" w:right="80" w:hanging="4"/>
        <w:spacing w:after="0" w:line="252" w:lineRule="auto"/>
        <w:tabs>
          <w:tab w:leader="none" w:pos="26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Loan Priority Collateral received by Agent or Creditor shall be paid over to Creditor for application to the Subordinated Debt until the Subordinated Debt (other than each Company’s contingent indemnity, contribution or reimbursement obligations which by their terms survive the termination of the Subordinated Loan Agreement) is finally paid in full in cash and all commitments to lend under the Subordinated Loan Agreement have terminated. The foregoing shall apply regardless of the order of filing of any such liens (or the exercise of control over or possession of any Collateral) or perfection of any such security interest (or failure to make any such filing or perfect any such security interest), or the avoidance of any such security interest.</w:t>
      </w:r>
    </w:p>
    <w:p>
      <w:pPr>
        <w:spacing w:after="0" w:line="189"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4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 agrees that it shall not, and hereby waives any right to, contest, or support any other in contesting, in any proceeding (including any Proceeding by or against a Loan Party), the priority, validity, perfection or enforceability of any liens in favor of Agent securing the Senior Debt in respect of the Collateral. Agent agrees that it shall not, and hereby waives any right to contest or support any other Person in contesting, in any proceeding (including any Proceeding by or against a Loan Party), the priority, validity, perfection or enforceability of liens in favor of Creditor securing the Subordinated Debt in respect of the Collateral, but nothing in this section will impair the rights of Agent or Creditor to enforce this Agreement, including the priority of the liens securing the Senior Debt, Subordinated Debt or the provisions for exercise of remedies.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83" w:name="page184"/>
    <w:bookmarkEnd w:id="183"/>
    <w:p>
      <w:pPr>
        <w:ind w:left="-40" w:firstLine="436"/>
        <w:spacing w:after="0" w:line="251" w:lineRule="auto"/>
        <w:tabs>
          <w:tab w:leader="none" w:pos="5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terms of the Subordinated Loan Documents, Creditor will not demand or receive from any Loan Party (and no Loan Party will pay to Creditor) all or any part of the Subordinated Debt, by way of payment, prepayment, setoff, lawsuit or otherwise, until the Senior Debt (other than each Loan Party’s contingent indemnity, contribution or reimbursement obligations which by their terms survive the termination of the Senior Loan Agreement) is finally paid in full in cash and all commitments to lend under the Senior Loan Agreement have terminated. Notwithstanding the foregoing, so long as a Payment Blockage Period (as defined below) is not in effect, Creditor shall be entitled to receive each Permitted Payment. For purposes of the foregoing, “</w:t>
      </w:r>
      <w:r>
        <w:rPr>
          <w:rFonts w:ascii="Times New Roman" w:cs="Times New Roman" w:eastAsia="Times New Roman" w:hAnsi="Times New Roman"/>
          <w:sz w:val="18"/>
          <w:szCs w:val="18"/>
          <w:u w:val="single" w:color="auto"/>
          <w:color w:val="auto"/>
        </w:rPr>
        <w:t>Permitted Payments</w:t>
      </w:r>
      <w:r>
        <w:rPr>
          <w:rFonts w:ascii="Times New Roman" w:cs="Times New Roman" w:eastAsia="Times New Roman" w:hAnsi="Times New Roman"/>
          <w:sz w:val="18"/>
          <w:szCs w:val="18"/>
          <w:color w:val="auto"/>
        </w:rPr>
        <w:t>” means (i) regularly scheduled payments of interest on the Subordinated Debt due and payable on a non-accelerated basis in accordance with the terms of the Subordinated Convertible Notes to the extent paid in kind (and not in cash) and (ii) the cashless conversion of the Subordinated Debt into Common Stock (as defined under the Subordinated Convertible Notes) in accordance with Section 3 of the Subordinated Convertible Notes, so long as such conversion does not result in a Change of Control (as defined in the Senior Loan Agreement). For avoidance of doubt, the New Subsidiary may make payments in accordance with the terms of the Subordinated Convertible Notes. In the event that Agent releases or agrees to release any of its liens or security interests in any portion of the Collateral in connection with the sale or other disposition thereof or in a Proceeding, or any of the Collateral is sold or retained pursuant to a foreclosure or similar action, Creditor shall (x) be deemed to automatically and simultaneously have (i) consented to such sale or other disposition and (ii) released its lien on such Collateral, and (y) promptly execute and deliver to Agent any such consent to such sale or other disposition, termination statements and releases as Agent reasonably requests to effect the release of the liens and security interests of Creditor in such Collateral. In the event of any sale, transfer, or other disposition (including a casualty loss or taking through eminent domain) of the Collateral, the proceeds resulting therefrom (including insurance proceeds) shall be applied in accordance with the terms of the Senior Loan Agreement until such time as the Senior Debt (other than each Loan Party’s contingent indemnity, contribution or reimbursement obligations which by their terms survive the termination of the Senior Loan Agreement) are finally paid in full in cash. Furthermore, in the event Agent consents to Store closures, and any related sales or other dispositions of Collateral (including inventory, equipment and fixtures) in connection therewith, Creditor shall be deemed to have consented to (A) such Store closures and related sales or other dispositions of Collateral, and (B) the retention of any consultant, agent or liquidator selected by (or with the consent) of Agent to conduct such sales or other dispositions of Collateral, whether on a so-called “fee basis” or “equity basis”, in each case, so long as the proceeds of such Store closure sales are applied in accordance with the immediately preceding sentence.</w:t>
      </w:r>
    </w:p>
    <w:p>
      <w:pPr>
        <w:spacing w:after="0" w:line="205"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5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the occurrence of a Default or Event of Default (as each is defined in the Senior Loan Agreement) under the Senior Loan Agreement, or if a Default or Event of Default under the Senior Loan Agreement would result immediately after giving effect to such payment on a pro forma basis, and (b) written notice thereof to Creditor from Agent (a “</w:t>
      </w:r>
      <w:r>
        <w:rPr>
          <w:rFonts w:ascii="Times New Roman" w:cs="Times New Roman" w:eastAsia="Times New Roman" w:hAnsi="Times New Roman"/>
          <w:sz w:val="18"/>
          <w:szCs w:val="18"/>
          <w:u w:val="single" w:color="auto"/>
          <w:color w:val="auto"/>
        </w:rPr>
        <w:t>Payment Blockage Notice</w:t>
      </w:r>
      <w:r>
        <w:rPr>
          <w:rFonts w:ascii="Times New Roman" w:cs="Times New Roman" w:eastAsia="Times New Roman" w:hAnsi="Times New Roman"/>
          <w:sz w:val="18"/>
          <w:szCs w:val="18"/>
          <w:color w:val="auto"/>
        </w:rPr>
        <w:t>”), Creditor may not receive any payment from any Loan Party for each period (each a “</w:t>
      </w:r>
      <w:r>
        <w:rPr>
          <w:rFonts w:ascii="Times New Roman" w:cs="Times New Roman" w:eastAsia="Times New Roman" w:hAnsi="Times New Roman"/>
          <w:sz w:val="18"/>
          <w:szCs w:val="18"/>
          <w:u w:val="single" w:color="auto"/>
          <w:color w:val="auto"/>
        </w:rPr>
        <w:t>Payment Blockage Period</w:t>
      </w:r>
      <w:r>
        <w:rPr>
          <w:rFonts w:ascii="Times New Roman" w:cs="Times New Roman" w:eastAsia="Times New Roman" w:hAnsi="Times New Roman"/>
          <w:sz w:val="18"/>
          <w:szCs w:val="18"/>
          <w:color w:val="auto"/>
        </w:rPr>
        <w:t>”) commencing on the date of the Payment Blockage Notice and ending on the earliest to occur of the following events:</w:t>
      </w:r>
    </w:p>
    <w:p>
      <w:pPr>
        <w:spacing w:after="0" w:line="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 or Event of Default has been cured to Agent’s satisfaction or has been waived by Agent, in each case, in writing;</w:t>
      </w:r>
    </w:p>
    <w:p>
      <w:pPr>
        <w:spacing w:after="0" w:line="117" w:lineRule="exact"/>
        <w:rPr>
          <w:rFonts w:ascii="Times New Roman" w:cs="Times New Roman" w:eastAsia="Times New Roman" w:hAnsi="Times New Roman"/>
          <w:sz w:val="18"/>
          <w:szCs w:val="18"/>
          <w:color w:val="auto"/>
        </w:rPr>
      </w:pPr>
    </w:p>
    <w:p>
      <w:pPr>
        <w:ind w:left="-40" w:right="100" w:firstLine="987"/>
        <w:spacing w:after="0" w:line="258" w:lineRule="auto"/>
        <w:tabs>
          <w:tab w:leader="none" w:pos="120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days have passed from the date of such Payment Blockage Notice, unless prior to the end of such 150-day period, Agent has commenced a judicial proceeding or non-judicial actions to collect or enforce the Senior Debt or foreclose on the Collateral, or a case or proceeding by or against any Loan Party is commenced under any bankruptcy or insolvency law or laws relating to the relief of debtors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in which case the Payment Blockage Period shall be extended during the continuance of such Proceeding until the payment in cash in full of the Senior Debt up to the Senior Debt Cap plus all Excluded Obligations; or</w:t>
      </w:r>
    </w:p>
    <w:p>
      <w:pPr>
        <w:spacing w:after="0" w:line="183" w:lineRule="exact"/>
        <w:rPr>
          <w:rFonts w:ascii="Times New Roman" w:cs="Times New Roman" w:eastAsia="Times New Roman" w:hAnsi="Times New Roman"/>
          <w:sz w:val="18"/>
          <w:szCs w:val="18"/>
          <w:color w:val="auto"/>
        </w:rPr>
      </w:pPr>
    </w:p>
    <w:p>
      <w:pPr>
        <w:ind w:left="-40" w:right="220" w:firstLine="987"/>
        <w:spacing w:after="0" w:line="266" w:lineRule="auto"/>
        <w:tabs>
          <w:tab w:leader="none" w:pos="119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(other than each Loan Party’s contingent indemnity, contribution or reimbursement obligations which by their terms survive the termination of the Senior Loan Agreement) has been discharged or paid in full in cash and any Lender’s commitment to extend credit extensions to Borrower under the Senior Loan Documents, if any, with respect thereto has been terminated;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70" w:right="479" w:bottom="1440" w:gutter="0" w:footer="0" w:header="0"/>
        </w:sectPr>
      </w:pPr>
    </w:p>
    <w:bookmarkStart w:id="184" w:name="page185"/>
    <w:bookmarkEnd w:id="184"/>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which Creditor may again receive, and Company may again make, all Permitted Payments. In no event shall Payment Blockage Notices for Defaults which do not involve a failure to make a payment of Senior Debt continue for more than 300 days in any period of 365 consecutive days.</w:t>
      </w:r>
    </w:p>
    <w:p>
      <w:pPr>
        <w:spacing w:after="0" w:line="176" w:lineRule="exact"/>
        <w:rPr>
          <w:sz w:val="20"/>
          <w:szCs w:val="20"/>
          <w:color w:val="auto"/>
        </w:rPr>
      </w:pPr>
    </w:p>
    <w:p>
      <w:pPr>
        <w:ind w:left="4" w:firstLine="436"/>
        <w:spacing w:after="0" w:line="254" w:lineRule="auto"/>
        <w:tabs>
          <w:tab w:leader="none" w:pos="62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Senior Debt (other than each Loan Party’s contingent indemnity, contribution or reimbursement obligations which by their terms survive the termination of the Senior Loan Agreement) is finally paid in full in cash and all commitments to lend under the Senior Loan Agreement have terminated, Creditor shall not, without the prior written consent of Agent, take any action to collect, enforce payment of or accelerate any of the Subordinated Debt or exercise any of the remedies with respect to the Subordinated Debt set forth in the Subordinated Loan Documents or that otherwise may be available to Creditor (including, without limitation, (a) delivery of any notice of exclusive control with respect to any deposit or securities/investment account of the Loan Parties at any other financial institution, (b) notification to a landlord or bailee of Creditor’s intent to proceed against the Collateral subject to a landlord waiver or bailee agreement, as applicable, or (c) entry onto any premises for the purpose of removing or otherwise dealing with the Collateral on such premises), either at law or in equity by judicial proceedings or otherwise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except as provided in the following two sentences. Upon the earliest to occur of:</w:t>
      </w:r>
    </w:p>
    <w:p>
      <w:pPr>
        <w:spacing w:after="0" w:line="80" w:lineRule="exact"/>
        <w:rPr>
          <w:rFonts w:ascii="Times New Roman" w:cs="Times New Roman" w:eastAsia="Times New Roman" w:hAnsi="Times New Roman"/>
          <w:sz w:val="18"/>
          <w:szCs w:val="18"/>
          <w:color w:val="auto"/>
        </w:rPr>
      </w:pPr>
    </w:p>
    <w:p>
      <w:pPr>
        <w:ind w:left="4" w:right="380" w:firstLine="1428"/>
        <w:spacing w:after="0" w:line="282" w:lineRule="auto"/>
        <w:tabs>
          <w:tab w:leader="none" w:pos="165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140 days from the date of Agent’s receipt of written notice from Creditor that a default has occurred under the Subordinated Loan Documents, if the default described therein shall not have been cured or waived within such period;</w:t>
      </w:r>
    </w:p>
    <w:p>
      <w:pPr>
        <w:spacing w:after="0" w:line="161" w:lineRule="exact"/>
        <w:rPr>
          <w:rFonts w:ascii="Times New Roman" w:cs="Times New Roman" w:eastAsia="Times New Roman" w:hAnsi="Times New Roman"/>
          <w:sz w:val="18"/>
          <w:szCs w:val="18"/>
          <w:color w:val="auto"/>
        </w:rPr>
      </w:pPr>
    </w:p>
    <w:p>
      <w:pPr>
        <w:ind w:left="4" w:right="500" w:firstLine="1428"/>
        <w:spacing w:after="0" w:line="266" w:lineRule="auto"/>
        <w:tabs>
          <w:tab w:leader="none" w:pos="170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Senior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following any such acceleration of the Senior Debt, such acceleration in respect of the Senior Debt is rescinded, all Enforcement Actions taken by Creditor shall likewise be rescinded if such Enforcement Actions are based on this </w:t>
      </w:r>
      <w:r>
        <w:rPr>
          <w:rFonts w:ascii="Times New Roman" w:cs="Times New Roman" w:eastAsia="Times New Roman" w:hAnsi="Times New Roman"/>
          <w:sz w:val="18"/>
          <w:szCs w:val="18"/>
          <w:u w:val="single" w:color="auto"/>
          <w:color w:val="auto"/>
        </w:rPr>
        <w:t>clause 5(ii)</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75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Proceeding is dismissed, the corresponding prohibition against Creditor taking any Enforcement Action shall automatically be reinstated as of the date of dismissal as if such Proceeding had not been initiated, unless Creditor shall have the right to take any Enforcement Action under another clause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reinstatement shall not affect the running of the 140-day period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to the extent that the default giving rise thereto is not based on an acceleration of the Senior Debt or the initiation of such Proceeding);</w:t>
      </w:r>
    </w:p>
    <w:p>
      <w:pPr>
        <w:spacing w:after="0" w:line="183"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7"/>
          <w:szCs w:val="17"/>
          <w:color w:val="auto"/>
        </w:rPr>
        <w:t xml:space="preserve">Creditor may, upon five Business Days’ prior written notice to Agent, take Enforcement Actions. Notwithstanding any provision of this Agreement to the contrary, until the Senior Debt (other than each Loan Party’s contingent indemnity, contribution or reimbursement obligations which by their terms survive the termination of the Senior Loan Agreement) is paid in full in cash and all commitments to lend under the Senior Loan Agreement have terminated, (x) Creditor shall not, without the prior written consent of Agent, take any Enforcement Action following acceleration of the Senior Debt so long as Agent at such time has commenced and is diligently pursuing in good faith the exercise of its rights and remedies provided as a secured creditor with respect to all or a material portion of the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Creditor may file a claim or claims, on the form required in such proceedings, on or before 30 days prior to the last date such claims or proofs of claim may be filed pursuant to law or the order of any court exercising jurisdiction over such proceedings,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action is not in contravention of or inconsistent with the terms of this Agreement, and</w:t>
      </w:r>
    </w:p>
    <w:p>
      <w:pPr>
        <w:ind w:left="4" w:hanging="4"/>
        <w:spacing w:after="0" w:line="251" w:lineRule="auto"/>
        <w:tabs>
          <w:tab w:leader="none" w:pos="2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Creditor agrees not to assert and hereby waives, to the fullest extent permitted by applicable law, any right to demand, request, plead or otherwise assert or otherwise claim against Agent the benefit of any marshaling, appraisal, valuation or other similar doctrine or right that may otherwise be available under applicable law or any other similar rights a junior secured creditor might have under applicable law with respect to the Collateral (except as permitted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this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Agent is granted adequate protection in the form of additional or replacement Collateral, Creditor may seek or request adequate protection in the form of a lien on such additional or replacement Collateral, which lien will be subordinated to the lien securing the Senior Debt provided by Agent on the same basis as the other liens securing the Subordinated Debt are subordinated to the liens securing the Senior Debt in accordance with the terms of this Agreement. Notwithstanding the foregoing, Creditor may at any time exercise rights and remedies against the New Subsidiary and/or the Subordinated Loan Priority Collateral.</w:t>
      </w:r>
    </w:p>
    <w:p>
      <w:pPr>
        <w:spacing w:after="0" w:line="193"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2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Creditor receives any payment, distribution, security or Collateral, or any proceeds thereof (collectively, a “</w:t>
      </w:r>
      <w:r>
        <w:rPr>
          <w:rFonts w:ascii="Times New Roman" w:cs="Times New Roman" w:eastAsia="Times New Roman" w:hAnsi="Times New Roman"/>
          <w:sz w:val="18"/>
          <w:szCs w:val="18"/>
          <w:u w:val="single" w:color="auto"/>
          <w:color w:val="auto"/>
        </w:rPr>
        <w:t>Prohibited Payment</w:t>
      </w:r>
      <w:r>
        <w:rPr>
          <w:rFonts w:ascii="Times New Roman" w:cs="Times New Roman" w:eastAsia="Times New Roman" w:hAnsi="Times New Roman"/>
          <w:sz w:val="18"/>
          <w:szCs w:val="18"/>
          <w:color w:val="auto"/>
        </w:rPr>
        <w:t xml:space="preserve">”), in contravention of this Agreement, Creditor shall aggregate and hold in trust for the benefit of, and immediately pay over to, Agent such Prohibited Payment for application to the Senior Debt up to the Senior Debt Cap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Excluded Obligations in the same form as received by Creditor, with any necessary endorsements, or as a court of competent jurisdiction may otherwise direct. Agent is hereby authorized to make any such endorsements for Creditor.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85" w:name="page186"/>
    <w:bookmarkEnd w:id="185"/>
    <w:p>
      <w:pPr>
        <w:ind w:left="4" w:right="20" w:firstLine="436"/>
        <w:spacing w:after="0" w:line="252" w:lineRule="auto"/>
        <w:tabs>
          <w:tab w:leader="none" w:pos="62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These provisions shall remain in full force and effect in a Proceeding, and Agent’s claims with respect to the Senior Debt against each Loan Party and the estate of the Loan Parties shall, in such Proceeding, be paid in full before any payment is made to Creditor. Notwithstanding any other provisions of this Agreement to the contrary, Creditor confirms and agrees that (a) it has no right to compel or forestall action by Agent in respect of any of the Collateral (Agent being free to exercise or not exercise all or any of its rights and remedies in its sole discretion); (b) Agent has full authority to deal with the Collateral; (c) it will not act in a manner so as to adversely affect the Collateral or make it burdensome for Agent to realize upon the Collateral; and (d) if any Loan Party shall be subject to a Proceeding and Agent desires to permit use of cash collateral by, or provide financing (subject to the Senior Debt Cap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Ten Million Dollars ($10,000,000)) to, the Loan Parties under either Section 363 or Section 364 of the Bankruptcy Code, Creditor agrees that (i) adequate notice to it shall have been provided for such financing if it receives notice five Business Days (subject to availability of a court to shorten the period of notice) prior to the entry of an order approving such financing; (ii) no objection will be raised by it to such financing on the ground of failure to provide adequate protection for its inferior lien or security interest position in any Collateral or on any other grounds; and</w:t>
      </w:r>
    </w:p>
    <w:p>
      <w:pPr>
        <w:spacing w:after="0" w:line="5" w:lineRule="exact"/>
        <w:rPr>
          <w:rFonts w:ascii="Times New Roman" w:cs="Times New Roman" w:eastAsia="Times New Roman" w:hAnsi="Times New Roman"/>
          <w:sz w:val="18"/>
          <w:szCs w:val="18"/>
          <w:color w:val="auto"/>
        </w:rPr>
      </w:pPr>
    </w:p>
    <w:p>
      <w:pPr>
        <w:ind w:left="4" w:right="320" w:hanging="4"/>
        <w:spacing w:after="0" w:line="255" w:lineRule="auto"/>
        <w:tabs>
          <w:tab w:leader="none" w:pos="31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consent to the liens on Collateral securing such debtor-in-possession financing and all obligations relating thereto so long as it receives a replacement lien on Collateral on the same terms (but on a basis junior to the liens of Agent securing the Senior Debt, the liens securing such debtor-in-possession financing, any carve-out amount from the Collateral and any adequate protection liens provided to Agent).</w:t>
      </w:r>
    </w:p>
    <w:p>
      <w:pPr>
        <w:spacing w:after="0" w:line="185"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2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of the Senior Debt remains unpaid, Creditor irrevocably appoints Agent as Creditor’s attorney in fact and grants to Agent a power of attorney with full power of substitution, in the name of Creditor or in the name of Agent, for the use and benefit of Agent, without notice to Creditor, to perform at Agent’s option the following acts in any Proceeding involving any Loan Party:</w:t>
      </w:r>
    </w:p>
    <w:p>
      <w:pPr>
        <w:spacing w:after="0" w:line="67" w:lineRule="exact"/>
        <w:rPr>
          <w:rFonts w:ascii="Times New Roman" w:cs="Times New Roman" w:eastAsia="Times New Roman" w:hAnsi="Times New Roman"/>
          <w:sz w:val="18"/>
          <w:szCs w:val="18"/>
          <w:color w:val="auto"/>
        </w:rPr>
      </w:pPr>
    </w:p>
    <w:p>
      <w:pPr>
        <w:ind w:left="4" w:firstLine="1428"/>
        <w:spacing w:after="0" w:line="282" w:lineRule="auto"/>
        <w:tabs>
          <w:tab w:leader="none" w:pos="1681"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the appropriate claim or claims in respect of the Subordinated Debt on behalf of Creditor if Creditor does not do so prior to 15 days before the expiration of the time to file claims in such proceeding and if Agent elects, in its sole discretion, to file such claim or claims; and</w:t>
      </w:r>
    </w:p>
    <w:p>
      <w:pPr>
        <w:spacing w:after="0" w:line="161" w:lineRule="exact"/>
        <w:rPr>
          <w:rFonts w:ascii="Times New Roman" w:cs="Times New Roman" w:eastAsia="Times New Roman" w:hAnsi="Times New Roman"/>
          <w:sz w:val="18"/>
          <w:szCs w:val="18"/>
          <w:color w:val="auto"/>
        </w:rPr>
      </w:pPr>
    </w:p>
    <w:p>
      <w:pPr>
        <w:ind w:left="4" w:right="260" w:firstLine="1428"/>
        <w:spacing w:after="0" w:line="270" w:lineRule="auto"/>
        <w:tabs>
          <w:tab w:leader="none" w:pos="1691" w:val="left"/>
        </w:tabs>
        <w:numPr>
          <w:ilvl w:val="2"/>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accept or reject any plan of reorganization or arrangement on behalf of Creditor if Creditor does not do so prior to 15 days before the expiration of the time to do so, and to otherwise vote Creditor’s claims in respect of any Subordinated Debt in any manner not inconsistent with the terms of this Agreement; provided that (i) Creditor shall not accept or reject any plan of reorganization or arrangement or otherwise vote its claims in respect of any Subordinated Debt in any manner which could reasonably be expected to adversely affect the parties’ rights hereunder, and</w:t>
      </w:r>
    </w:p>
    <w:p>
      <w:pPr>
        <w:spacing w:after="0" w:line="2" w:lineRule="exact"/>
        <w:rPr>
          <w:rFonts w:ascii="Times New Roman" w:cs="Times New Roman" w:eastAsia="Times New Roman" w:hAnsi="Times New Roman"/>
          <w:sz w:val="17"/>
          <w:szCs w:val="17"/>
          <w:color w:val="auto"/>
        </w:rPr>
      </w:pPr>
    </w:p>
    <w:p>
      <w:pPr>
        <w:ind w:left="4" w:right="140" w:hanging="4"/>
        <w:spacing w:after="0" w:line="252" w:lineRule="auto"/>
        <w:tabs>
          <w:tab w:leader="none" w:pos="26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Creditor shall not initiate, prosecute or participate in any claim or action in such Proceeding challenging the enforceability, validity, perfection or priority of the Senior Debt or any liens and security interests on the Collateral securing the Senior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impair Creditor’s right to vote on any plan of reorganization or arrangement or any proposal or file any proof of claim, in each case to the extent not in contravention of or inconsistent with the terms of this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Creditor covenants and agrees to vote in favor of any plan of reorganization or arrangement which Agent votes in favor of or supports,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plan of reorganization or arrangement is not in contravention of or inconsistent with the terms of this Agreement.</w:t>
      </w:r>
    </w:p>
    <w:p>
      <w:pPr>
        <w:spacing w:after="0" w:line="190"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7"/>
          <w:szCs w:val="17"/>
          <w:color w:val="auto"/>
        </w:rPr>
        <w:t>Notwithstanding the foregoing, (x) in any Proceeding, Creditor may take any action to preserve or protect the validity and enforceability of its security interests and liens so long as no such action is, or could reasonably be expected to be, (i) adverse to Agent’s security interests and liens on the Collateral or the rights of Agent to exercise remedies in respect thereof, or (ii) otherwise inconsistent with the terms of this Agreement, and (y) Creditor may file any responsive or defensive pleadings in opposition to any motion, claim, adversary proceeding or other pleading made by any person or entity objecting to or otherwise seeking the disallowance of the claims of Creditor, including any claims secured by the Collateral, or the avoidance of any security interests or liens held by Creditor or otherwise make any agreements or file any motions pertaining to the Subordinated Debt, in each case, to the extent not inconsistent with the terms of this Agreement. For the avoidance of doubt, Creditor may participate in any insolvency proceeding against Company as an unsecured creditor so long as, in so participating, Creditor does not take any action inconsistent with the terms of this Agreement.</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86" w:name="page187"/>
    <w:bookmarkEnd w:id="186"/>
    <w:p>
      <w:pPr>
        <w:ind w:left="624" w:hanging="184"/>
        <w:spacing w:after="0"/>
        <w:tabs>
          <w:tab w:leader="none" w:pos="62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Without the prior written consent of Agent, Creditor shall not amend or modify the terms of the Subordinated Loan Documents to</w:t>
      </w:r>
    </w:p>
    <w:p>
      <w:pPr>
        <w:spacing w:after="0" w:line="27" w:lineRule="exact"/>
        <w:rPr>
          <w:rFonts w:ascii="Times New Roman" w:cs="Times New Roman" w:eastAsia="Times New Roman" w:hAnsi="Times New Roman"/>
          <w:sz w:val="18"/>
          <w:szCs w:val="18"/>
          <w:color w:val="auto"/>
        </w:rPr>
      </w:pPr>
    </w:p>
    <w:p>
      <w:pPr>
        <w:ind w:left="4" w:right="80" w:hanging="4"/>
        <w:spacing w:after="0" w:line="251" w:lineRule="auto"/>
        <w:tabs>
          <w:tab w:leader="none" w:pos="21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sum of the outstanding principal amount of loans under the Subordinated Loan Documents to an amount in excess of the Subordinated Debt Cap (as defined below) that would otherwise constitute Subordinated Debt; (ii) increase the interest rate (other than any increases as a result of the institution of the default rate of interest) applicable to any portion of Subordinated Debt if, at any time, the interest rate that would apply to such portion of Subordinated Debt after giving effect thereto would exceed, by more than 200 basis points, the interest rate applicable to such portion of the Subordinated Debt on the date of this Agreement; or (iii) add any prohibition or limitation on (A) payment of the Senior Debt or (B) amendment of the Senior Loan Agreement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is more restrictive than those contained herein. Except in furtherance of enforcement of the terms of this Agreement, Creditor shall not initiate, prosecute or participate in any claim or action in a Proceeding challenging the enforceability, validity, perfection or priority of the Senior Debt or any liens and security interests securing the Senior Debt. “</w:t>
      </w:r>
      <w:r>
        <w:rPr>
          <w:rFonts w:ascii="Times New Roman" w:cs="Times New Roman" w:eastAsia="Times New Roman" w:hAnsi="Times New Roman"/>
          <w:sz w:val="18"/>
          <w:szCs w:val="18"/>
          <w:u w:val="single" w:color="auto"/>
          <w:color w:val="auto"/>
        </w:rPr>
        <w:t>Subordinated Debt Cap</w:t>
      </w:r>
      <w:r>
        <w:rPr>
          <w:rFonts w:ascii="Times New Roman" w:cs="Times New Roman" w:eastAsia="Times New Roman" w:hAnsi="Times New Roman"/>
          <w:sz w:val="18"/>
          <w:szCs w:val="18"/>
          <w:color w:val="auto"/>
        </w:rPr>
        <w:t>” means Fifty Million Dollars ($50,000,000).</w:t>
      </w:r>
    </w:p>
    <w:p>
      <w:pPr>
        <w:spacing w:after="0" w:line="193" w:lineRule="exact"/>
        <w:rPr>
          <w:sz w:val="20"/>
          <w:szCs w:val="20"/>
          <w:color w:val="auto"/>
        </w:rPr>
      </w:pPr>
    </w:p>
    <w:p>
      <w:pPr>
        <w:ind w:left="1684" w:hanging="252"/>
        <w:spacing w:after="0"/>
        <w:tabs>
          <w:tab w:leader="none" w:pos="1684"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Creditor, Agent shall not amend or modify the terms of the Senior Loan Documents to</w:t>
      </w:r>
    </w:p>
    <w:p>
      <w:pPr>
        <w:spacing w:after="0" w:line="27" w:lineRule="exact"/>
        <w:rPr>
          <w:rFonts w:ascii="Times New Roman" w:cs="Times New Roman" w:eastAsia="Times New Roman" w:hAnsi="Times New Roman"/>
          <w:sz w:val="18"/>
          <w:szCs w:val="18"/>
          <w:color w:val="auto"/>
        </w:rPr>
      </w:pPr>
    </w:p>
    <w:p>
      <w:pPr>
        <w:ind w:left="4" w:right="240" w:hanging="4"/>
        <w:spacing w:after="0" w:line="250" w:lineRule="auto"/>
        <w:tabs>
          <w:tab w:leader="none" w:pos="21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sum of the outstanding principal amount of loans under the Senior Loan Documents that would otherwise constitute Senior Debt to an amount in excess of the Senior Debt Cap; (ii) increase the interest rate (other than any increases as a result of the institution of the default rate of interest) applicable to any portion of Senior Debt if, at any time, the interest rate that would apply to such portion of Senior Debt after giving effect thereto would exceed, by more than 200 basis points, the interest rate applicable to such portion of the Senior Debt on the date of this Agreement; or</w:t>
      </w:r>
    </w:p>
    <w:p>
      <w:pPr>
        <w:spacing w:after="0" w:line="1"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 any prohibition or limitation on (A) payment of the Subordinated Debt or (B) amendment of the Subordinated Loan Agreement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is more restrictive than those contained in the Senior Loan Documents as in effect on the date hereof. Except in furtherance of enforcement of the terms of this Agreement, Agent shall not initiate, prosecute or participate in any claim or action in a Proceeding challenging the enforceability, validity, perfection or priority of the Subordinated Debt or any liens and security interests securing the Subordinated Debt.</w:t>
      </w:r>
    </w:p>
    <w:p>
      <w:pPr>
        <w:spacing w:after="0" w:line="186"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0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assisting Agent and/or Creditor in perfecting the security interest or lien granted in the Collateral securing the Senior Debt or the Subordinated Debt, Agent agrees to hold Collateral that is in Agent’s possession or control, to the extent that control or possession thereof is taken to perfect a security interest or lien thereon under the UCC, as a gratuitous bailee for Creditor. Agent does not make any representation regarding any perfection or possession or otherwise with respect to any Collateral and shall not have any duty or liability to whatsoever arising out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firstLine="436"/>
        <w:spacing w:after="0" w:line="252" w:lineRule="auto"/>
        <w:tabs>
          <w:tab w:leader="none" w:pos="71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effective until payment in full in cash of the Senior Debt (other than each Loan Party’s contingent indemnity, contribution or reimbursement obligations which by their terms survive the termination of the Senior Loan Agreement) and termination of all obligations of Lenders to make credit extensions to Borrower under the Senior Loan Documents, at which time, subject to the next sentence, this Agreement shall terminate. If, at any time after termination of this Agreement, any payments of the Senior Debt must be disgorged by Agent for any reason (including, without limitation, the bankruptcy of the Loan Parties), this Agreement and the relative rights and priorities set forth herein shall be reinstated and the Senior Debt, or part thereof, intended to be satisfied, shall be revived and continue in full force and effect as to the applicable amount of such disgorged payments as though such payments had not been made and Creditor shall immediately pay over to Agent all payments received with respect to the Subordinated Debt to the extent that such payments would have been prohibited hereunder.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at any time and from time to time, without notice to Creditor, Agent may take such actions with respect to the Senior Debt as Agent, in its sole discretion, may deem appropriate, including, without limitation, terminating advances to Borrower, increasing the principal amount (subject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extending the time of payment, increasing applicable interest rates, renewing, compromising or otherwise amending the terms of any documents affecting the Senior Debt and any collateral securing the Senior Debt, and enforcing or failing to enforce any rights against any Loan Party or any other person. No such action or inaction shall impair or otherwise affect Agent’s rights hereunder. Creditor waives any benefits that it has that permit a subordinating creditor to assert suretyship defenses or that give a subordinating creditor rights to require a senior creditor to marshal assets. Creditor will not assert such a defense or right. In addition to the waivers set forth above, Creditor expressly waives, to the extent permitted by applicable New York law, all of Creditor’s rights under applicable New York surety laws.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87" w:name="page188"/>
    <w:bookmarkEnd w:id="187"/>
    <w:p>
      <w:pPr>
        <w:ind w:left="-40" w:firstLine="436"/>
        <w:spacing w:after="0" w:line="256" w:lineRule="auto"/>
        <w:tabs>
          <w:tab w:leader="none" w:pos="67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shall bind any successors or assignees of Creditor and shall benefit and bind any successors or assigns of Agent. This Agreement is solely for the benefit of Creditor and Agent and not for the benefit of any Loan Party or any other party. Creditor further agrees that, if any Loan Party is in the process of refinancing all or a portion of the Senior Debt with a new lender and if any Loan Party or Agent makes a request of Creditor, Creditor shall agree to enter into a new subordination agreement with the new lender on substantially the terms and conditions of this Agreement so long as the definitive documentation in connection with such refinancing amends or modifies the terms of the Senior Loan Documents in accordance with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67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shall be deemed an original and all of which together shall constitute one instrument. Delivery of an executed counterpart of a signature page of this Agreement or any document or instrument delivered in connection herewith by telecopy or PDF or other electronic means will be as effective as delivery of a manually executed counterpart of this Agreement or such other document or instrument, as applicable, and each party utilizing telecopy, PDF or other electronic means for delivery will deliver a manually executed original counterpart to each other party on request.</w:t>
      </w:r>
    </w:p>
    <w:p>
      <w:pPr>
        <w:spacing w:after="0" w:line="183" w:lineRule="exact"/>
        <w:rPr>
          <w:rFonts w:ascii="Times New Roman" w:cs="Times New Roman" w:eastAsia="Times New Roman" w:hAnsi="Times New Roman"/>
          <w:sz w:val="18"/>
          <w:szCs w:val="18"/>
          <w:color w:val="auto"/>
        </w:rPr>
      </w:pPr>
    </w:p>
    <w:p>
      <w:pPr>
        <w:jc w:val="both"/>
        <w:ind w:left="-40" w:right="140" w:firstLine="436"/>
        <w:spacing w:after="0" w:line="266" w:lineRule="auto"/>
        <w:tabs>
          <w:tab w:leader="none" w:pos="67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THIS AGREEMENT SHALL BE GOVERNED BY, AND CONSTRUED IN ACCORDANCE WITH, THE LAWS OF THE STATE OF NEW YORK, WITHOUT GIVING EFFECT TO THE CONFLICTS OF LAWS PRINCIPLES THEREOF, BUT INCLUDING SECTION 5-1401 OF THE NEW YORK GENERAL OBLIGATIONS LAW.</w:t>
      </w:r>
    </w:p>
    <w:p>
      <w:pPr>
        <w:spacing w:after="0" w:line="175" w:lineRule="exact"/>
        <w:rPr>
          <w:rFonts w:ascii="Times New Roman" w:cs="Times New Roman" w:eastAsia="Times New Roman" w:hAnsi="Times New Roman"/>
          <w:sz w:val="18"/>
          <w:szCs w:val="18"/>
          <w:color w:val="auto"/>
        </w:rPr>
      </w:pPr>
    </w:p>
    <w:p>
      <w:pPr>
        <w:ind w:left="-40" w:right="120" w:firstLine="987"/>
        <w:spacing w:after="0" w:line="253" w:lineRule="auto"/>
        <w:tabs>
          <w:tab w:leader="none" w:pos="120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 AND EACH LOAN PARTY IRREVOCABLY AND UNCONDITIONALLY SUBMITS, FOR THEMSELVES AND THEIR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CREDITOR AND EACH OF THE LOAN PARTIES HERETO IRREVOCABLY AND UNCONDITIONALLY AGREES THAT ALL CLAIMS IN RESPECT OF ANY SUCH ACTION OR PROCEEDING MAY BE HEARD AND DETERMINED IN SUCH NEW YORK STATE COURT OR, TO THE FULLEST EXTENT PERMITTED BY APPLICABLE LAW, IN SUCH FEDERAL COURT. CREDITOR AND EACH OF THE LOAN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AGENT MAY OTHERWISE HAVE TO BRING ANY ACTION OR PROCEEDING RELATING TO THIS AGREEMENT AGAINST CREDITOR OR ANY LOAN PARTY OR THEIR RESPECTIVE PROPERTIES IN THE COURTS OF ANY JURISDICTION.</w:t>
      </w:r>
    </w:p>
    <w:p>
      <w:pPr>
        <w:spacing w:after="0" w:line="187" w:lineRule="exact"/>
        <w:rPr>
          <w:rFonts w:ascii="Times New Roman" w:cs="Times New Roman" w:eastAsia="Times New Roman" w:hAnsi="Times New Roman"/>
          <w:sz w:val="18"/>
          <w:szCs w:val="18"/>
          <w:color w:val="auto"/>
        </w:rPr>
      </w:pPr>
    </w:p>
    <w:p>
      <w:pPr>
        <w:ind w:left="-40" w:right="40" w:firstLine="987"/>
        <w:spacing w:after="0" w:line="256" w:lineRule="auto"/>
        <w:tabs>
          <w:tab w:leader="none" w:pos="119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CREDITOR AND EACH LOAN PARTY IRREVOCABLY AND UNCONDITIONALLY WAIVES, TO THE FULLEST EXTENT PERMITTED BY APPLICABLE LAW, ANY OBJECTION THAT IT MAY NOW OR HEREAFTER HAVE TO THE LAYING OF VENUE OF ANY ACTION OR PROCEEDING ARISING OUT OF OR RELATING TO THIS AGREEMENT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CREDITOR AND EACH OF THE LOAN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left="-40" w:right="320" w:firstLine="987"/>
        <w:spacing w:after="0" w:line="266" w:lineRule="auto"/>
        <w:tabs>
          <w:tab w:leader="none" w:pos="120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CREDITOR AND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5" w:lineRule="exact"/>
        <w:rPr>
          <w:rFonts w:ascii="Times New Roman" w:cs="Times New Roman" w:eastAsia="Times New Roman" w:hAnsi="Times New Roman"/>
          <w:sz w:val="18"/>
          <w:szCs w:val="18"/>
          <w:color w:val="auto"/>
        </w:rPr>
      </w:pPr>
    </w:p>
    <w:p>
      <w:pPr>
        <w:ind w:left="-40" w:right="260" w:firstLine="987"/>
        <w:spacing w:after="0" w:line="258" w:lineRule="auto"/>
        <w:tabs>
          <w:tab w:leader="none" w:pos="119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 AND EACH LOAN PARTY AGREES THAT ANY ACTION COMMENCED BY CREDITOR OR ANY LOAN PARTY, RESPECTIVELY, ASSERTING ANY CLAIM OR COUNTERCLAIM ARISING UNDER OR IN CONNECTION WITH THIS AGREEMENT SHALL BE BROUGHT SOLELY IN A COURT OF THE STATE OF NEW YORK SITTING IN NEW YORK COUNTY OR ANY FEDERAL COURT SITTING THEREIN AS AGENT MAY ELECT IN ITS SOLE DISCRETION AND CONSENTS TO THE EXCLUSIVE JURISDICTION OF SUCH COURTS WITH RESPECT TO ANY SUCH 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70" w:right="479" w:bottom="1440" w:gutter="0" w:footer="0" w:header="0"/>
        </w:sectPr>
      </w:pPr>
    </w:p>
    <w:bookmarkStart w:id="188" w:name="page189"/>
    <w:bookmarkEnd w:id="188"/>
    <w:p>
      <w:pPr>
        <w:ind w:firstLine="987"/>
        <w:spacing w:after="0" w:line="254" w:lineRule="auto"/>
        <w:tabs>
          <w:tab w:leader="none" w:pos="121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BY, AMONG OTHER THINGS, THE MUTUAL WAIVERS AND CERTIFICATIONS IN THIS SECTION.</w:t>
      </w:r>
    </w:p>
    <w:p>
      <w:pPr>
        <w:spacing w:after="0" w:line="191" w:lineRule="exact"/>
        <w:rPr>
          <w:rFonts w:ascii="Times New Roman" w:cs="Times New Roman" w:eastAsia="Times New Roman" w:hAnsi="Times New Roman"/>
          <w:sz w:val="18"/>
          <w:szCs w:val="18"/>
          <w:color w:val="auto"/>
        </w:rPr>
      </w:pPr>
    </w:p>
    <w:p>
      <w:pPr>
        <w:ind w:right="40" w:firstLine="436"/>
        <w:spacing w:after="0" w:line="272" w:lineRule="auto"/>
        <w:tabs>
          <w:tab w:leader="none" w:pos="71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represents the entire agreement with respect to the subject matter hereof and supersedes all prior negotiations, agreements and commitments. Creditor is not relying on any representations by Agent, any Loan Party, Company or New Subsidiary in entering into this Agreement, and Creditor has kept and will continue to keep itself fully apprised of the financial and other condition of Company. Subject to the immediately following sentence, this Agreement may be amended only by written instrument signed by Creditor and Agent. In the case of any amendment or waiver that increases the obligations of, or would otherwise be materially adverse to, a Loan Party or that amends this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any such amendment or waiver shall also require the consent of Borrower (in addition to any consent required under the immediately preceding sentence). Borrower shall be given prior notice of any amendment or waiver of this Agreement (it being understood that the failure to deliver such notice to Borrower shall in no way impact the effectiveness of any such amendment or waiver). The recitals to this Agreement are incorporated herein by this reference.</w:t>
      </w:r>
    </w:p>
    <w:p>
      <w:pPr>
        <w:spacing w:after="0" w:line="171" w:lineRule="exact"/>
        <w:rPr>
          <w:rFonts w:ascii="Times New Roman" w:cs="Times New Roman" w:eastAsia="Times New Roman" w:hAnsi="Times New Roman"/>
          <w:sz w:val="17"/>
          <w:szCs w:val="17"/>
          <w:color w:val="auto"/>
        </w:rPr>
      </w:pPr>
    </w:p>
    <w:p>
      <w:pPr>
        <w:ind w:right="340" w:firstLine="436"/>
        <w:spacing w:after="0" w:line="282" w:lineRule="auto"/>
        <w:tabs>
          <w:tab w:leader="none" w:pos="71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severable from every other provision of this Agreement for the purpose of determining the legal enforceability of any specific provision.</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71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that any party is required or may desire to give to any other party under any provision of this Agreement must be in writing (unless otherwise specifically provided) and delivered to such party at the following addresses and shall be deemed to have been validly served, given or delivered upon the earlier of: (a) the first Business Day after transmission by electronic mail, facsimile or hand delivery or deposit with an overnight express service or overnight mail delivery service; or (b) the third calendar day after deposit in the United States mails, with proper first class postage prepaid and shall be addressed to the party to be notified as follows: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Allbirds,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-213360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Hotaling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Christos Yatrakis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legal@allbirds.com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Holland &amp; Hart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Guadalupe Street, Suite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Fe, NM 87501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Timothy S. Crisp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tscrisp@hollandhart.com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Avenue Capital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Second Avenue, Suite 550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Gallivan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mgallivan@secondavecp.com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Choate, Hall &amp; Stewart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International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John F. Ventola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jventola@choate.com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Heather Sonnenberg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heather.sonnenberg@blankrome.com</w:t>
      </w:r>
    </w:p>
    <w:p>
      <w:pPr>
        <w:spacing w:after="0" w:line="200" w:lineRule="exact"/>
        <w:rPr>
          <w:sz w:val="20"/>
          <w:szCs w:val="20"/>
          <w:color w:val="auto"/>
        </w:rPr>
      </w:pPr>
    </w:p>
    <w:p>
      <w:pPr>
        <w:sectPr>
          <w:pgSz w:w="11900" w:h="16838" w:orient="portrait"/>
          <w:cols w:equalWidth="0" w:num="2">
            <w:col w:w="4900" w:space="720"/>
            <w:col w:w="5380"/>
          </w:cols>
          <w:pgMar w:left="440" w:top="270" w:right="459" w:bottom="1440" w:gutter="0" w:footer="0" w:header="0"/>
        </w:sectPr>
      </w:pPr>
    </w:p>
    <w:p>
      <w:pPr>
        <w:spacing w:after="0" w:line="18" w:lineRule="exact"/>
        <w:rPr>
          <w:sz w:val="20"/>
          <w:szCs w:val="20"/>
          <w:color w:val="auto"/>
        </w:rPr>
      </w:pPr>
    </w:p>
    <w:p>
      <w:pPr>
        <w:ind w:right="280" w:firstLine="436"/>
        <w:spacing w:after="0" w:line="282" w:lineRule="auto"/>
        <w:tabs>
          <w:tab w:leader="none" w:pos="71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legal action to enforce the rights of a party under this Agreement, the party prevailing in such action shall be entitled, in addition to such other relief as may be granted, to all reasonable costs and expenses, including reasonable attorneys’ fees, incurred in such action.</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Senior Loan Documents and the Subordinated Loan Documents is subject in all respects to this Agreement. In the case of any conflict or inconsistency between any terms of any of the Senior Loan Documents or the Subordinated Loan Documents, on the one hand, and any of the terms and provisions of this Agreement, on the other hand, the terms and provisions of this Agreement shall control. Creditor shall immediately affix a legend to any instruments evidencing the Subordinated Debt stating that the instruments are subject to the terms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executed this Agreement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“Creditor”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w:t>
      </w:r>
    </w:p>
    <w:p>
      <w:pPr>
        <w:spacing w:after="0" w:line="38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Signature Page to Subordination Agreement</w:t>
      </w:r>
    </w:p>
    <w:p>
      <w:pPr>
        <w:sectPr>
          <w:pgSz w:w="11900" w:h="16838" w:orient="portrait"/>
          <w:cols w:equalWidth="0" w:num="1">
            <w:col w:w="9579"/>
          </w:cols>
          <w:pgMar w:left="880" w:top="270" w:right="1440" w:bottom="1440" w:gutter="0" w:footer="0" w:header="0"/>
        </w:sectPr>
      </w:pPr>
    </w:p>
    <w:bookmarkStart w:id="191" w:name="page192"/>
    <w:bookmarkEnd w:id="19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SECOND AVENUE CAPITAL PARTNERS</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Gallivan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Gallivan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Signer</w:t>
      </w:r>
    </w:p>
    <w:p>
      <w:pPr>
        <w:spacing w:after="0" w:line="13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Signature Page to Subordination Agreement</w:t>
      </w:r>
    </w:p>
    <w:p>
      <w:pPr>
        <w:sectPr>
          <w:pgSz w:w="11900" w:h="16838" w:orient="portrait"/>
          <w:cols w:equalWidth="0" w:num="1">
            <w:col w:w="9019"/>
          </w:cols>
          <w:pgMar w:left="1440" w:top="270"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approves of the terms of this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“Loan Parties” and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ALLBIRDS,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ALLBIRDS INTERNATIONAL, INC.</w:t>
      </w:r>
    </w:p>
    <w:p>
      <w:pPr>
        <w:spacing w:after="0" w:line="23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NEWBIRD AI,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Signature Page to Subordination Agreement</w:t>
      </w:r>
    </w:p>
    <w:p>
      <w:pPr>
        <w:sectPr>
          <w:pgSz w:w="11900" w:h="16838" w:orient="portrait"/>
          <w:cols w:equalWidth="0" w:num="1">
            <w:col w:w="9579"/>
          </w:cols>
          <w:pgMar w:left="880" w:top="270"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08760" cy="522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087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2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Allbirds, Inc. Executes $50M Convertible Financing Facility Agreement; Announces Expansion into AI Compute Infrastructure </w:t>
      </w:r>
      <w:r>
        <w:rPr>
          <w:rFonts w:ascii="Times New Roman" w:cs="Times New Roman" w:eastAsia="Times New Roman" w:hAnsi="Times New Roman"/>
          <w:sz w:val="18"/>
          <w:szCs w:val="18"/>
          <w:color w:val="auto"/>
        </w:rPr>
        <w:t>Apr 15, 2026</w:t>
      </w:r>
    </w:p>
    <w:p>
      <w:pPr>
        <w:spacing w:after="0" w:line="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SAN FRANCISCO, April 15, 2026 (GLOBE NEWSWIRE) – Following its prior announcement that it has entered into a definitive agreement to sell the Allbirds brand and footwear assets to American Exchange Group, which intends to continue to build on Allbirds’ legacy and deliver compelling products to Allbirds’ customers (the “Asset Sale”), Allbirds, Inc. (Nasdaq: BIRD) (the “Company”) today announced the execution of a definitive agreement with an institutional investor for a $50 million convertible financing facility (the “Facility”). The Facility, which is expected to close during the second quarter of 2026, will enable the Company to pivot its business to AI compute infrastructure, with a long-term vision to become a fully integrated GPU-as-a-Service (GPUaaS) and AI-native cloud solutions provider. In connection with this pivot, the Company anticipates changing its name to “NewBird AI.”</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described in the Company’s proxy materials filed with the Securities and Exchange Commission, conversion of the Facility is subject to stockholder approval at the upcoming Special Meeting of Stockholders, anticipated to take place on May 18, 2026, for stockholders of record as of April 13, 2026. Additionally, subject to stockholder approval of the Asset Sale, Allbirds, Inc. anticipates issuing a special dividend during the third quarter of 2026 to stockholders of record as of the anticipated dividend record date of May 20, 2026.</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a result of these transactions, the Allbirds brand and legacy will continue under the ownership of American Exchange Group for the benefit of all of its customers, investors as of the dividend record date will receive a special dividend, and investors who elect to continue to hold NewBird AI stock will be invested in a growing AI compute infrastructure business supported by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is serving as placement agent on the Facility and Holland &amp; Hart LLP is acting as legal counsel to Allbirds.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AI Compute Infrastructure Strategy &amp; Long-Term Opportunity</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NewBird AI expects to use initial capital from the Facility to acquire high-performance GPU assets, which will be deployed to serve customers requiring dedicated access to AI compute capacity. NewBird AI’s long-term vision is to become a fully integrated GPU-as-a-Service (GPUaaS) and AI-native cloud solutions provider. Over time, the Company intends to grow its neocloud platform by expanding its compute and service offerings, deepening partnerships with operators and customers, and evaluating strategic M&amp;A opportunities.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rise of AI development and adoption has created unprecedented structural demand for specialized, high-performance compute that the market is struggling to meet. Global enterprise spending on AI services and data center investment are on the rise. At the same time, GPU procurement lead times are increasing for high-end hardware, North American data center vacancy rates have reached historic lows, and market-wide compute capacity coming online through mid-2026 is already fully committed. The result is a market where enterprises, AI developers, and research organizations are unable to secure the compute resources they need to build, train and run AI at scale.</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NewBird AI is being built to help close that gap. The Company will initially seek to acquire high-performance, low-latency AI compute hardware and provide access under long-term lease arrangements, meeting customer demand that spot markets and hyperscalers are unable to reliably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Allbirds and its directors and executive officers may be deemed “participants” in any solicitation of proxies from Allbirds’ stockholders with respect to the Asset Sale and Facility. Information regarding the identity of Allbirds’ directors and executive officers, and their direct and indirect interests, by security holdings or otherwise, in the Company’s securities is contained in the Company’s Annual Report on Form 10-K for the fiscal year ended December 31, 2025. Information regarding subsequent changes to the holdings of Allbirds’ securities by Allbirds’ directors and executive officers can be found in filings on Forms 3, 4, and 5, which are available through the SEC’s website at www.sec.gov. Additional information regarding the identity of potential participants, and their direct or indirect interests, by security holdings or otherwise, will be set forth in the proxy statement relating to the Asset Sale and Facility if, and when, it is filed with the SEC. The proxy statement, if and when filed, as well as Allbirds’ other public filings with the SEC, may be obtained without charge at the SEC’s website at www.sec.gov and on the investor relations section of our website at ir.allbirds.com.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These statements are based on management’s current beliefs, assumptions, and information, and include all statements other than historical facts - such as statements regarding or implying Allbirds’ expectations and intentions regarding the completion or effects of the Asset Sale or Facility, its intention to file the proxy statement to approve the Asset Sale and Facility, its expectation of making distributions to stockholders and the timing thereof, and other statements that do not relate solely to historical or current facts. Forward-looking statements can often be identified by words such as “anticipate,” “believe,” “estimate,” “expect,” “intend,” “may,” “plan,” “project,” “target,” “will,” or similar expressions.</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that could cause actual results to differ materially from those expressed or implied, including: the ability of the parties to consummate the Asset Sale and Facility, satisfaction of closing conditions precedent to the consummation of such transactions, potential delays in consummating such transactions, the ability of the Company to timely prepare and file the proxy statement, the potential that the Company’s stockholders do not approve the either or both of the transactions, potential litigation that would interfere with such transactions or cause the Company to be unable to make the anticipated distribution to stockholders, the execution costs to the Company of such transactions, the impact of these costs and other liabilities on the Company’s cash, property and other assets, the amount and timing of any distribution, and the extent of contingency reserves for costs and liabilities.</w:t>
      </w:r>
    </w:p>
    <w:p>
      <w:pPr>
        <w:sectPr>
          <w:pgSz w:w="11900" w:h="16838" w:orient="portrait"/>
          <w:cols w:equalWidth="0" w:num="1">
            <w:col w:w="11020"/>
          </w:cols>
          <w:pgMar w:left="440" w:top="117" w:right="439" w:bottom="586" w:gutter="0" w:footer="0" w:header="0"/>
        </w:sectPr>
      </w:pPr>
    </w:p>
    <w:bookmarkStart w:id="194" w:name="page195"/>
    <w:bookmarkEnd w:id="19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further discussion of these and other factors that could cause our actual outcomes and results to differ materially from any results, performance, or achievements anticipated, expressed, or implied by these forward-looking statements is included in the filings we make with the SEC, including our Quarterly Report on Form 10-Q for the quarter ended September 30, 2025 and our Annual Report on Form 10-K for the year ended December 31, 2025, and other reports we may file with the SEC from time to time. These forward-looking statements speak only as of the date of this press release, and we undertake no obligation to update them except as required by law. We may not actually achieve the plans, intentions or expectations disclosed in or expressed by, and you should not place undue reliance on our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ir@allbirds.com</w:t>
      </w:r>
    </w:p>
    <w:p>
      <w:pPr>
        <w:sectPr>
          <w:pgSz w:w="11900" w:h="16838" w:orient="portrait"/>
          <w:cols w:equalWidth="0" w:num="1">
            <w:col w:w="10960"/>
          </w:cols>
          <w:pgMar w:left="440" w:top="270" w:right="49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Asset Sale</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Asset Sale described in the Proxy Statement (the “Asset Sale” or the “Asset Sale Proposal”), our business may be harmed and our financial condition, strategic alternatives and the price of our Class A common stock could be materially adversely affected.</w:t>
      </w:r>
    </w:p>
    <w:p>
      <w:pPr>
        <w:spacing w:after="0" w:line="5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we fail to complete the Asset Sale, our business may be harmed and could be materially adversely affected. We cannot provide assurances that the Asset Sale will be completed. The closing of the Asset Sale is subject to a number of conditions, including but not limited to our obtaining stockholder approval of the Asset Purchase Agreement as described in the Proxy Statement (the “Asset Purchase Agreement”) and providing necessary third-party consents and approvals in order to sell the Assets. In addition, if the Asset Sale is not completed, the market price for our Class A common stock may decline.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the Asset Sale is not completed, we may remain responsible for operating a legacy business that we have described as unsustainable and loss-making, while also having incurred significant transaction costs, and having caused management distraction and market uncertainty. In such circumstances, we may have significantly fewer strategic alternatives available to us, may be required to seek additional financing on unfavorable terms or at all, and may be unable to pursue the anticipated Electronics Infrastructure Business or any alternative strategy.</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announcement of the Asset Sale may cause employees working for us to become concerned about the future of the business and lose focus or seek other employment.</w:t>
      </w:r>
    </w:p>
    <w:p>
      <w:pPr>
        <w:spacing w:after="0" w:line="51"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If the Asset Sale is not completed, our directors, executive officers and other employees will have expended extensive time and effort and experienced significant distractions from their work during the pendency of the Asset Sale and we will have incurred significant third party transaction costs, in each case, without any commensurate benefit, which may have a material and adverse effect on our stock price and results of operations.</w:t>
      </w:r>
    </w:p>
    <w:p>
      <w:pPr>
        <w:spacing w:after="0" w:line="15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These risks may be heightened as we expand into the Electronics Infrastructure Business, which may create additional uncertainty among employees regarding the Company’s strategy, prospects, leadership, required skill sets and long-term organizational direction. We may lose employees whose knowledge is important to the completion of the Asset Sale, the management of remaining obligations, the development of our continuing business or the execution of any dissolution or wind-down alternative.</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net proceeds that we will receive from the Asset Sale is subject to uncertainties, and such proceeds may be insufficient to support our continuing plans or maximize stockholder value.</w:t>
      </w:r>
    </w:p>
    <w:p>
      <w:pPr>
        <w:spacing w:after="0" w:line="5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amount of net proceeds that we will receive from the Asset Sale is subject to uncertainties. We expect to receive aggregate net proceeds of approximately $35 million to $36.2 million, after payment of transaction and other related expenses and applicable taxes (if any), assuming a purchase price of $39.0 million. In addition, if Buyer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w:t>
      </w:r>
    </w:p>
    <w:p>
      <w:pPr>
        <w:sectPr>
          <w:pgSz w:w="11900" w:h="16838" w:orient="portrait"/>
          <w:cols w:equalWidth="0" w:num="1">
            <w:col w:w="11020"/>
          </w:cols>
          <w:pgMar w:left="440" w:top="117" w:right="439" w:bottom="1440" w:gutter="0" w:footer="0" w:header="0"/>
        </w:sectPr>
      </w:pPr>
    </w:p>
    <w:bookmarkStart w:id="196" w:name="page197"/>
    <w:bookmarkEnd w:id="196"/>
    <w:p>
      <w:pPr>
        <w:jc w:val="both"/>
        <w:ind w:right="5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even if the Asset Sale is completed and the anticipated dividend to be paid to stockholders (the “Asset Sale Dividend”) is made as contemplated, the assets available to the Company following such transactions may be insufficient to fund our continuing business, satisfy public company costs, support working capital needs, pursue strategic opportunities or provide stockholders with any value in the go-forward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limits our ability to pursue alternatives to the Asset Sale.</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Asset Purchase Agreement contains provisions that make it more difficult for us to sell the Purchased Assets to any party other than Buyer or to sell any other of our assets prior to the closing of the Asset Sale. These provisions include the prohibition on our ability to solicit competing proposals. These provisions could discourage a third party that might have an interest in acquiring all of or a significant part of the Company from considering or proposing an alternative transaction, and could make it more difficult for us to complete an alternative transaction with another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Asset Purchase Agreement may expose us to contingent liabilities, which could impair our ability to fund or operate our continuing business.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Asset Purchase Agreement, Buyer’s principal recourse for inaccuracies in the Surviving Representations is limited to recovery from the Escrow Fund, and the Escrow Fund also secures certain negative purchase price adjustments and specified reimbursement obligations of the Company. Significant claims against the Escrow Fund or other post-closing obligations of the Company could reduce the amount of net proceeds ultimately distributed to stockholders following the Asset Sale pursuant to the Asset Sale Dividend and expose us to contingent liabilities</w:t>
      </w:r>
    </w:p>
    <w:p>
      <w:pPr>
        <w:spacing w:after="0" w:line="180"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Any such liabilities or obligations could also reduce the funds available to develop or sustain our continuing business, to satisfy financing obligations, to remain listed on Nasdaq or to avoid dissolution, each following the closing of the Asset Sale.</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may have interests that are different from, or in addition to, those of our stockholders generally in connection with the Asset Sale.</w:t>
      </w:r>
    </w:p>
    <w:p>
      <w:pPr>
        <w:spacing w:after="0" w:line="5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You should be aware of interests of, and the benefits available to, our directors and executive officers when considering the recommendation of our Board regarding the Asset Sale. Our directors and executive officers may have interests in the Asset Sale that may be in addition to, or different from, their interests as stockholders. These interests include:</w:t>
      </w:r>
    </w:p>
    <w:p>
      <w:pPr>
        <w:spacing w:after="0" w:line="79" w:lineRule="exact"/>
        <w:rPr>
          <w:sz w:val="20"/>
          <w:szCs w:val="20"/>
          <w:color w:val="auto"/>
        </w:rPr>
      </w:pPr>
    </w:p>
    <w:p>
      <w:pPr>
        <w:ind w:left="960" w:right="200" w:hanging="424"/>
        <w:spacing w:after="0" w:line="261" w:lineRule="auto"/>
        <w:tabs>
          <w:tab w:leader="none" w:pos="9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Concentrated Voting Control</w:t>
      </w:r>
      <w:r>
        <w:rPr>
          <w:rFonts w:ascii="Times New Roman" w:cs="Times New Roman" w:eastAsia="Times New Roman" w:hAnsi="Times New Roman"/>
          <w:sz w:val="18"/>
          <w:szCs w:val="18"/>
          <w:color w:val="auto"/>
        </w:rPr>
        <w:t>. Our Class B common stock has 10 votes per share and our Class A common stock has one vote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members of our directors, and entities affiliated with certain of our directors, beneficially owned approximately 2,293,314 of the shares of our Class B common stock that were issued and outstanding on February 28, 2026. As of February 28, 2026, these holders represented approximately 71% of the voting power of our outstanding capital stock.</w:t>
      </w:r>
    </w:p>
    <w:p>
      <w:pPr>
        <w:spacing w:after="0" w:line="85"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Agreements</w:t>
      </w:r>
      <w:r>
        <w:rPr>
          <w:rFonts w:ascii="Times New Roman" w:cs="Times New Roman" w:eastAsia="Times New Roman" w:hAnsi="Times New Roman"/>
          <w:sz w:val="18"/>
          <w:szCs w:val="18"/>
          <w:color w:val="auto"/>
        </w:rPr>
        <w:t>. In connection with the Asset Sale, the Company has entered into Support Agreements with Messrs. Zwillinger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Brown, our co-founders and members of our Board of Directors, Mr. Boyce, a member of our Board of Directors, and entities affiliated with Maveron, a holder of greater than 5% of our Class B common stock and which nominated Mr. Levitan to serve as a member of our Board of Directors. Pursuant to such Support Agreements, the subject parties have agreed to vote all of the shares of common stock owned by such individuals and entities, approximately 71% of the vote in the aggregate, as of February 28, 2026, in favor of each of the proposals recommended by our Board.</w:t>
      </w:r>
    </w:p>
    <w:p>
      <w:pPr>
        <w:sectPr>
          <w:pgSz w:w="11900" w:h="16838" w:orient="portrait"/>
          <w:cols w:equalWidth="0" w:num="1">
            <w:col w:w="10980"/>
          </w:cols>
          <w:pgMar w:left="440" w:top="270" w:right="479" w:bottom="1440" w:gutter="0" w:footer="0" w:header="0"/>
        </w:sectPr>
      </w:pPr>
    </w:p>
    <w:bookmarkStart w:id="197" w:name="page198"/>
    <w:bookmarkEnd w:id="197"/>
    <w:p>
      <w:pPr>
        <w:ind w:left="960" w:hanging="424"/>
        <w:spacing w:after="0" w:line="257"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Retention Plan</w:t>
      </w:r>
      <w:r>
        <w:rPr>
          <w:rFonts w:ascii="Times New Roman" w:cs="Times New Roman" w:eastAsia="Times New Roman" w:hAnsi="Times New Roman"/>
          <w:sz w:val="18"/>
          <w:szCs w:val="18"/>
          <w:color w:val="auto"/>
        </w:rPr>
        <w:t>. In connection with the Asset Sale, the Management Compensation and Leadership Committee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executive retention compensation (the “Executive Retention Plan”) for certain senior-level executives. The Executive Retention Plan provides for a lump sum, one-time cash payment, less applicable tax withholdings, in the following amounts: $500,000 for Joseph Vernachio, and $400,000 for Ann Mitchell (each, an “Executive Awards”). The Executive Awards are subject to a “clawback” requirement, which provides that each Executive must repay the net (after-tax) amount of their respective Executive Award if such Executive voluntarily terminates their employment with the Company prior to the date of the Closing.</w:t>
      </w:r>
    </w:p>
    <w:p>
      <w:pPr>
        <w:spacing w:after="0" w:line="87"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D&amp;O Indemnification</w:t>
      </w:r>
      <w:r>
        <w:rPr>
          <w:rFonts w:ascii="Times New Roman" w:cs="Times New Roman" w:eastAsia="Times New Roman" w:hAnsi="Times New Roman"/>
          <w:sz w:val="18"/>
          <w:szCs w:val="18"/>
          <w:color w:val="auto"/>
        </w:rPr>
        <w:t>. Our amended and restated certificate of incorporation contains provisions limiting the liability of directors,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our Board. The Company has also entered into indemnity agreements with each of our directors and executive officers, which requires us to indemnify them. Our directors and executive officers will retain the right to continued indemnification and insurance coverage for acts or omissions occurring prior to the Asset Sale and arising out of the fact that such person was a director or officer of the Company prior to the Asset Sale.</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derivative litigation, books-and-records demands and other proceedings, which is expensive and would decrease the amount of net proceeds from the Asset Sale available for distribution and could delay or impair our post-closing plans.</w:t>
      </w:r>
    </w:p>
    <w:p>
      <w:pPr>
        <w:spacing w:after="0" w:line="5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We may be subject to securities class action litigation, securities class actions, stockholder derivative actions, fiduciary duty claims, books-and-records demands, appraisal-related claims, claims alleging material misstatements or omissions, regulatory inquiries and other proceedings in connection with the Asset Sale or other proposals presented at the upcoming special meeting of stockholders. Litigation and other claims, both meritorious and frivolous, are a common occurrence in connection with transactions similar to the Asset Sale, and we face potential for litigation or other disputes that relate to the Asset Sale, including claims related to our process or disclosures and investigatory demands under Delaware law. We may also become subject to claims arising from the contemplated financing, the proposed amendment of our charter as described in the Proxy Statement (the “Charter Amendment”), the change in our business strategy and the anticipated Electronics Infrastructure Business, the Investor’s rights under the Facility, the contemplated change in our corporate name, stock-price volatility, alleged dilution and the possibility that the continuing business may not be successful or viable. We can provide no assurance that such litigation, disputes, or demands will not arise in the future. Any future litigation or proceedings, whether with or without merit, or successful or not, could result in significant settlement amounts, damages, fines, or other penalties, divert financial and management resources, and result in significant legal fees. Any such amounts would directly decrease the amount of net proceeds from the Asset Sale available for distribution to our stockholders, including potentially prohibiting us from making a distribution of any amount to our stockholders. Further, any such litigation could delay the closing of the Asset Sale or could have a material adverse effect on our business, financial condition, and results of operations. Any such matters could also impair our ability to execute the anticipated Electronics Infrastructure Business, raise capital, maintain our Nasdaq listing or avoid dissolution.</w:t>
      </w:r>
    </w:p>
    <w:p>
      <w:pPr>
        <w:sectPr>
          <w:pgSz w:w="11900" w:h="16838" w:orient="portrait"/>
          <w:cols w:equalWidth="0" w:num="1">
            <w:col w:w="11000"/>
          </w:cols>
          <w:pgMar w:left="440" w:top="268" w:right="459" w:bottom="1440" w:gutter="0" w:footer="0" w:header="0"/>
        </w:sectPr>
      </w:pPr>
    </w:p>
    <w:bookmarkStart w:id="198" w:name="page199"/>
    <w:bookmarkEnd w:id="198"/>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 if the Asset Sale is completed, we may not be able to establish and implement a viable continuing business, and our Board may determine to pursue dissolution.</w:t>
      </w:r>
    </w:p>
    <w:p>
      <w:pPr>
        <w:spacing w:after="0" w:line="5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Completion of the Asset Sale will not ensure the success of the Company following the sale of the Purchased Assets. After the Asset Sale, we intend to continue operating the Company, including pursuing the anticipated Electronics Infrastructure Business. However, our ability to do so successfully will depend on numerous factors, including our ability to obtain and maintain financing, identify and acquire Electronics Assets, hire or retain qualified personnel, establish commercially viable transaction structures, manage an entirely different business model, maintain our Nasdaq listing, avoid or manage litigation and other claims and preserve sufficient liquidity to fund operations. We will have only limited cash available following the Asset Sale and related transactions, and our available funds may be insufficient to fund our continuing business, satisfy public company costs, service indebtedness, meet working capital needs or otherwise continue operations. If we are unable to obtain additional capital when needed, we could exhaust our available cash and be unable to continue operating our business.</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continue a viable continuing business, if we are unable to obtain needed financing, or if we exhaust our available cash, our Board may determine at some point during the twelve months following stockholder approval that it is in the best interests of stockholders to implement a plan of dissolution. We may also be forced to significantly curtail or cease operations before any such determination is made. In that event, stockholders may receive little or no additional value, and the market price of our Class A common stock could decline materially, including to having no value at all.</w:t>
      </w:r>
    </w:p>
    <w:p>
      <w:pPr>
        <w:sectPr>
          <w:pgSz w:w="11900" w:h="16838" w:orient="portrait"/>
          <w:cols w:equalWidth="0" w:num="1">
            <w:col w:w="10960"/>
          </w:cols>
          <w:pgMar w:left="440" w:top="266"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 Relating to Our Anticipated Electronics Infrastructure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operating history in the anticipated Electronics Infrastructure Business, and our new business plan may not be successful.</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are pursuing an Electronics Infrastructure Business focused on the acquisition and monetization of graphics processing units, related high-performance computing infrastructure and other related assets. While certain members of our board and management team have relevant experience, we have no operating history in this business as a company. As a result, investors will have limited basis on which to evaluate our prospects in this new business. We may be unable to retain existing employees or attract new employees with the expertise necessary to operate the anticipated Electronics Infrastructure Business.</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anticipated Electronics Infrastructure Business is subject to all of the risks, uncertainties and difficulties frequently encountered by start-up companies and companies entering a new and rapidly evolving market, many of which are beyond our control. We may fail to identify attractive opportunities, acquire suitable Electronics Assets, develop a viable operating model, generate revenue, achieve profitability or create stockholder value. If we are unable to execute this business plan successfully, our business, financial condition, results of operations and prospects could be materially and adversely affected, and the value of our Class A common stock could decline substantially.</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Electronics Infrastructure Business is highly speculative, uncertain, unproven and subject to change, and we may be unable to implement it successfully or at all.</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anticipated Electronics Infrastructure Business is at a very early stage of development. We are investigating potential opportunities in the computing infrastructure market, but our plans remain preliminary and may change materially. The anticipated Electronics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These assumptions, among many others, may prove to be incorrect. Even if we are able to acquire Electronics Assets and begin operations, we may be unable to establish profitable or sustainable business lines. If our assumptions are incorrect or if our strategy changes materially, our business, financial condition, results of operations and the market price of our Class A common stock could be materially adversely affected.</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Asset Sale, we will have sold substantially all of the business we historically operated and we will be operating a business that differs from our primary historical business.</w:t>
      </w:r>
    </w:p>
    <w:p>
      <w:pPr>
        <w:spacing w:after="0" w:line="5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Asset Sale involves the sale of the assets relating to our existing footwear business and a significant amount of our historical operating assets. As a result, following the closing of the Asset Sale, we will no longer operate the business with which investors have historically associated the Company. Instead, we would be continuing to operate assets in a historically different business.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need to expand or build substantial parts of our business, including strategy, personnel, processes, controls, systems, counterparties, customer relationships, vendor relationships, branding and market positioning. We may not be successful in doing so. Companies attempting a transition of this magnitude often encounter unforeseen costs, delays, execution issues and strategic failures. If our continuing business does not develop successfully, we may fail to generate meaningful revenue, incur substantial losses, need to raise additional capital on unfavorable terms, pursue additional strategic alternatives or determine to dissolve. Any such outcome could materially and adversely affect our stockholders.</w:t>
      </w:r>
    </w:p>
    <w:p>
      <w:pPr>
        <w:sectPr>
          <w:pgSz w:w="11900" w:h="16838" w:orient="portrait"/>
          <w:cols w:equalWidth="0" w:num="1">
            <w:col w:w="10980"/>
          </w:cols>
          <w:pgMar w:left="440" w:top="266"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fail to transition successfully from a consumer products company to a computing infrastructure company.</w:t>
      </w:r>
    </w:p>
    <w:p>
      <w:pPr>
        <w:spacing w:after="0" w:line="121"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The successful operation of a computing infrastructure business requires capabilities that differ substantially from those required to operate a consumer footwear and apparel business. These capabilities may include, among other things, expertise in sourcing and evaluating specialized computing equipment, structuring leases and sale/lease-back transactions, understanding enterprise and institutional customer needs, managing technology asset life cycles, evaluating utilization and residual value risk, negotiating technical services and hosting arrangements, complying with industry-specific laws and regulations and managing specialized technical and operational risks.</w:t>
      </w:r>
    </w:p>
    <w:p>
      <w:pPr>
        <w:spacing w:after="0" w:line="183"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may be unable to develop or acquire these capabilities in a timely or cost-effective manner. We may also experience difficulty adapting our internal processes, financial reporting systems, disclosure controls and risk management framework to support a fundamentally different business model. If we are unable to manage this transition effectively, our business and prospects could be materially harmed.</w:t>
      </w:r>
    </w:p>
    <w:p>
      <w:pPr>
        <w:spacing w:after="0" w:line="2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disclosures regarding our anticipated business necessarily involve substantial estimates and assumptions and may become inaccurate or incomplete as circumstances evolve.</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Because our anticipated Electronics Infrastructure Business is at an extremely early stage, our public disclosures regarding the business, opportunities, risks, economics, financing needs, market demand, asset acquisition plans, monetization strategies and expected results necessarily depend on estimates, expectations and assumptions that may prove to be incomplete, inaccurate or subject to rapid change. In many cases, we may have only limited operating experience or third-party information on which to base such judgments. As a result, subsequent developments may differ materially from what is described in our public filings. If investors, regulators, counterparties or other stakeholders believe that our disclosures were incomplete, insufficiently qualified, overly optimistic or otherwise misleading, we could face reputational harm, litigation, regulatory scrutiny, stock price volatility and other adverse consequences. Any such developments could materially adversely affect our business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may never generate meaningful revenue, achieve profitability or produce positive cash flow.</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anticipated Electronics Infrastructure Business may require substantial upfront capital expenditures, ongoing operating expenditures and significant management attention before it generates any material revenue, if at all. There can be no assurance that we will be able to generate customer demand, establish commercially reasonable pricing, maintain satisfactory utilization rates, structure profitable monetization arrangements or achieve sufficient scale to cover our costs.</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Even if we generate revenue, our costs may be greater than we expect, including costs associated with acquiring Electronics Assets, financing, maintenance, logistics, hosting, insurance, professional services, regulatory compliance, public company obligations, personnel and litigation. As a result, we may continue to incur losses for an extended period or indefinitely, and we may never achieve profitability or positive cash flow. If that occurs, the value of our business and our Class A common stock could decline materially.</w:t>
      </w:r>
    </w:p>
    <w:p>
      <w:pPr>
        <w:sectPr>
          <w:pgSz w:w="11900" w:h="16838" w:orient="portrait"/>
          <w:cols w:equalWidth="0" w:num="1">
            <w:col w:w="10940"/>
          </w:cols>
          <w:pgMar w:left="440" w:top="266" w:right="519" w:bottom="1440" w:gutter="0" w:footer="0" w:header="0"/>
        </w:sectPr>
      </w:pPr>
    </w:p>
    <w:bookmarkStart w:id="201" w:name="page202"/>
    <w:bookmarkEnd w:id="201"/>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face intense competition from larger, more experienced and significantly better-capitalized companies, and we may be unable to compete effectively.</w:t>
      </w:r>
    </w:p>
    <w:p>
      <w:pPr>
        <w:spacing w:after="0" w:line="5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computing infrastructure market is intensely competitive and evolving rapidly. We expect to compete, directly or indirectly, with a range of participants, including large technology companies, cloud service providers, infrastructure operators, data center operators, equipment owners and lessors, investment firms, financial sponsors and other market participants with substantially greater financial, technical, operational and managerial resources than we have.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Many of these competitors have significantly longer operating histories, more established brands, deeper customer relationships, superior access to capital, better procurement terms, more sophisticated technical capabilities, more extensive infrastructure and greater tolerance for risk than we do. These competitors may be able to acquire Electronics Assets at lower cost, offer more attractive pricing or commercial terms, absorb volatility more effectively, deploy assets more quickly and secure customers and strategic relationships more successfully than we can. Our limited resources relative to these competitors may materially impair our ability to compete, generate revenue and create stockholder value.</w:t>
      </w:r>
    </w:p>
    <w:p>
      <w:pPr>
        <w:spacing w:after="0" w:line="28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significantly fewer resources than many of the companies with which we would compete, which could materially impair our ability to execute our business plan.</w:t>
      </w:r>
    </w:p>
    <w:p>
      <w:pPr>
        <w:spacing w:after="0" w:line="5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Asset Sale, our available cash, remaining assets and organizational resources will be extremely limited. The anticipated Electronics Infrastructure Business will likely require significant capital, personnel, systems and third-party relationships. Larger and more established companies may have access to more favorable financing, stronger supplier relationships, greater technical expertise, lower cost structures and more diversified revenue streams.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Because our resources are expected to be substantially more limited than those of many competitors and counterparties in this market, we may be unable to pursue attractive opportunities, withstand pricing pressure, tolerate delays in monetization, absorb operational setbacks or respond effectively to changes in market conditions. If we are unable to compete effectively due to our comparatively limited resources, our business, financial condition and prospects could be materially adversely affected.</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execute the anticipated Electronics Infrastructure Business will depend on our ability to obtain substantial capital, and such capital may not be available on acceptable terms or at all.</w:t>
      </w:r>
    </w:p>
    <w:p>
      <w:pPr>
        <w:spacing w:after="0" w:line="5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acquisition and monetization of Electronics Assets may require substantial capital and the proceeds from the Facility may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attempting to develop the anticipated Electronics Infrastructure Business. Our cash resources may be exhausted more quickly than we expect, and we may run out of cash before we are able to secure additional financing.</w:t>
      </w:r>
    </w:p>
    <w:p>
      <w:pPr>
        <w:sectPr>
          <w:pgSz w:w="11900" w:h="16838" w:orient="portrait"/>
          <w:cols w:equalWidth="0" w:num="1">
            <w:col w:w="11000"/>
          </w:cols>
          <w:pgMar w:left="440" w:top="266" w:right="459" w:bottom="1440" w:gutter="0" w:footer="0" w:header="0"/>
        </w:sectPr>
      </w:pPr>
    </w:p>
    <w:bookmarkStart w:id="202" w:name="page203"/>
    <w:bookmarkEnd w:id="2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markets conditions, our limited operating history in the new business, the speculative nature of our strategy, trading volatility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our financial condition, investor sentiment regarding our transition and other factors may make it difficult or impossible for us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additional capital on terms that are acceptable to us, or at all. If financing is unavailable or available only on unfavorable terms, we may be forced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delay or abandon acquisitions, curtail operations, sell assets at unattractive prices, issue additional equity that is highly dilutive, incur restrictive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drastically reduce expenses, cease operations, pursue dissolution or pursue other strategic alternatives. If we are unable to raise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needed, we may run out of cash. Any of these outcomes could materially adversely affect our business and stockholders.</w:t>
      </w:r>
    </w:p>
    <w:p>
      <w:pPr>
        <w:spacing w:after="0" w:line="3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Only the initial $5.25 million of the contemplated financing is committed, the remaining $44.75 million is solely at the Investor’s option, and if we do not obtain additional funding we may run out of cash.</w:t>
      </w:r>
    </w:p>
    <w:p>
      <w:pPr>
        <w:spacing w:after="0" w:line="5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Convertible Notes, if issued, would be issued in multiple closings. Although we have entered into an arrangement relating to the Facility, only the first $5.25 million in aggregate principal amount of the Convertible Notes is committed for issuance. The remaining $44.75 million in aggregate principal amount of the Convertible Notes in additional tranches is solely at the option of the Investor.</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initial issuance of Convertible Notes would cover only a limited portion of the contemplated aggregate principal amount of the Facility, and the remaining additional tranches are solely at the option of the Investor. Accordingly, there can be no assurance that we will receive the full amount of the contemplated financing, or any amount beyond the initial $5.25 million. Stockholders should not assume that the Investor will elect to fund any additional tranche, and the initial committed amount will very likely be insufficient to fund our planned operations, liquidity needs or business strategy for any significant period of time.</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Investor elects not to fund additional tranches, we very likely will not have access to the capital necessary to purchase Electronics Assets, develop operations or pursue our business plan. In such event, we may need to seek alternative financing, which may not be available on favorable terms or at all. We may also be forced to scale back or abandon aspects of our strategy, delay implementation, materially reduce operations, sell assets, cease operations or pursue other strategic alternatives, including dissolution. Without additional funding beyond the initial committed amount, we may run out of cash. Our inability to obtain the expected financing under the Facility could materially and adversely affect our business, liquidity, prospects and the market price of our Class A common stock.</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the terms of the Convertible Notes could materially adversely affect our liquidity, financial condition and operational flexibility.</w:t>
      </w:r>
    </w:p>
    <w:p>
      <w:pPr>
        <w:spacing w:after="0" w:line="5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Convertible Notes, if issued, would constitute indebtedness of the Company. Indebtedness may require us to use cash flow to satisfy principal, interest, redemption, amortization or other payment obligations rather than for working capital, capital expenditures, acquisitions or other corporate purposes. The Convertible Notes are senior secured obligations and would, following the Closing of the Asset Sale, be secured by all of the assets of the Company and its subsidiaries, including all Electronics Assets. If our cash resources are limited, these obligations could exacerbate our liquidity constraints, reduce the time period during which we can continue operating and increase the risk that we may run out of cash.</w:t>
      </w:r>
    </w:p>
    <w:p>
      <w:pPr>
        <w:sectPr>
          <w:pgSz w:w="11900" w:h="16838" w:orient="portrait"/>
          <w:cols w:equalWidth="0" w:num="1">
            <w:col w:w="11020"/>
          </w:cols>
          <w:pgMar w:left="440" w:top="270" w:right="439" w:bottom="1440" w:gutter="0" w:footer="0" w:header="0"/>
        </w:sectPr>
      </w:pPr>
    </w:p>
    <w:bookmarkStart w:id="203" w:name="page204"/>
    <w:bookmarkEnd w:id="203"/>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financing documents contain covenants, restrictions, defaults, remedies, rights and other provisions that could limit our flexibility in operating our business. These provisions may restrict our ability to incur additional indebtedness, grant liens, engage in certain transactions, raise capital, transfer assets, make strategic changes or otherwise operate our business as management believes is appropriate. If we fail to comply with the terms of the financing documents or if an event of default occurs, the Investor may exercise remedies, including remedies against collateral, that could have a material adverse effect on our liquidity, assets, financial condition and ability to continue operations. Our indebtedness could therefore materially impair our ability to execute our strategy successfully and could increase the risk that we may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granted to the Investor may significantly limit our strategic and operational flexibility and may create governance or influence concerns.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financing documents grant the Investor significant rights, including rights relating to future financings, registration, conversion and other matters. For example, for twenty-four months following the issuance date, the Investor would have the right to co-invest for at least 55% of certain future financing transactions on the same terms with other investors. The Company also granted registration rights and other rights under the financing documents.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These rights may limit our flexibility to pursue capital raising, strategic transactions or operational decisions on terms and timelines that we would otherwise consider desirable. The Investor’s interests may not always align with the interests of the Company or our stockholders generally. In addition, the existence of these rights may discourage other investors or counterparties from transacting with us, may complicate future financing efforts, may constrain our ability to negotiate with third parties and may result in disputes regarding interpretation or compliance. Any such limitations, deterrent effects or disputes could adversely affect our business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Investor’s right to appoint a new Chief Operating Officer may create management, integration, governance and strategic execution risks.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Investor has the right to appoint a new Chief Operating Officer of the Company. The appointment of a senior executive selected by the Investor may create significant operational, governance and management risks. We may experience difficulties integrating such executive into our organization, aligning responsibilities and authority, retaining other key personnel, defining reporting lines, maintaining management cohesion or ensuring consistent execution of strategy.</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such executive will possess the necessary skills, judgment, cultural fit or industry experience to assist the Company successfully in implementing the anticipated Electronics Infrastructure Business. The appointment of a new Chief Operating Officer could also create actual or perceived conflicts of interest, uncertainty among employees, counterparties and investors, or disputes within management or the Board. Any of these issues could materially adversely affect our business and execution of our strategy.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turnover in senior management and on our Board as a result of the Asset Sale.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None of our existing executive officers or directors is obligated to continue serving the Company for any specified period following the closing of the Asset Sale, the financing transactions relating to our Electronics Infrastructure Business, or the implementation of our anticipated Electronics Infrastructure Business. As a result, we expect to experience substantial turnover in senior management and on our Board during a period in which continuity of leadership, institutional knowledge and strategic oversight may be especially important.</w:t>
      </w:r>
    </w:p>
    <w:p>
      <w:pPr>
        <w:sectPr>
          <w:pgSz w:w="11900" w:h="16838" w:orient="portrait"/>
          <w:cols w:equalWidth="0" w:num="1">
            <w:col w:w="10980"/>
          </w:cols>
          <w:pgMar w:left="440" w:top="270" w:right="479" w:bottom="1440" w:gutter="0" w:footer="0" w:header="0"/>
        </w:sectPr>
      </w:pPr>
    </w:p>
    <w:bookmarkStart w:id="204" w:name="page205"/>
    <w:bookmarkEnd w:id="20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particular, one or more of our current executive officers may resign or otherwise cease to serve the Company following the consummation of the proposed transactions. Similarly, one or more of our current directors may resign or elect not to continue serving on our Board. Any such turnover could result in a loss of institutional knowledge, reduced management continuity, weakened oversight, disruption to strategic execution, delays in implementing the anticipated Electronics Infrastructure Business, uncertainty among employees, counterparties and stockholders, and difficulty maintaining effective disclosure controls, internal control over financial reporting and corporate governance processes. Significant turnover could also create actual or perceived governance concerns, increase the risk of disputes regarding the direction of the Company and make it more difficult to attract and retain qualified personnel and directors. Any of these developments could materially and adversely affect our business, financial condition, results of operations, prospects and the market price of our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through future equity issuances, which may be highly dilutive to existing stockholders.</w:t>
      </w:r>
    </w:p>
    <w:p>
      <w:pPr>
        <w:spacing w:after="0" w:line="121"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We may need to raise substantial additional capital to implement our business plan, support operations, fund acquisitions, satisfy obligations, respond to market opportunities or address unforeseen developments. Any future equity or equity-linked financing would be dilutive to existing stockholders, potentially materially so.</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future issuances may occur at prices below the then-current market price of our Class A common stock or below prices previously paid by stockholders, and could include terms favorable to new investors, such as discounts, anti-dilution protections, liquidation preferences, registration rights, board or management influence rights or other protections. Such issuances could materially dilute existing stockholders’ economic and voting interests and could adversely affect the market price of our Class A common stock.</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not reflect the fundamental value or prospects of the anticipated Electronics Infrastructure Business, and any increase in our stock price following announcement of such business may not be sustained.</w:t>
      </w:r>
    </w:p>
    <w:p>
      <w:pPr>
        <w:spacing w:after="0" w:line="5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may be influenced by speculation, momentum trading, limited public float, short covering, media attention, social media commentary, investor enthusiasm regarding artificial intelligence or computing infrastructure themes, or other factors unrelated or disproportionate to our underlying business fundamentals. Following announcement of anticipated transactions, our stock price may experience substantial volatility or appreciation. There can be no assurance that any such increase will be sustained.</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Investors may have only limited information regarding our anticipated Electronics Infrastructure Business and may make investment decisions based on assumptions about our future business that do not materialize. If market expectations change, if our business plan is not executed successfully, if our financing arrangements prove insufficient or restrictive, if our disclosures are challenged, or if broader market sentiment weakens, the market price of our Class A common stock could decline sharply, and stockholders could lose all or a substantial portion of their investment.</w:t>
      </w:r>
    </w:p>
    <w:p>
      <w:pPr>
        <w:sectPr>
          <w:pgSz w:w="11900" w:h="16838" w:orient="portrait"/>
          <w:cols w:equalWidth="0" w:num="1">
            <w:col w:w="10980"/>
          </w:cols>
          <w:pgMar w:left="440" w:top="270"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Class A common stock has been, and may remain, highly volatile, and stockholders may lose all or a substantial part of their investment.</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and may continue to be, highly volatile. Volatility may result from, among other things, our proposed Asset Sale, the anticipated shift in our business strategy, uncertainty regarding the Electronics Infrastructure Business, potential dilution, actual or anticipated financings, litigation, analyst commentary, market sentiment regarding artificial intelligence and computing infrastructure businesses, and general market and macroeconomic conditions.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This volatility may be substantial and could occur regardless of our operating performance. As a result, stockholders may be unable to sell their shares at desired prices or at all, and may lose all or a substantial portion of their investment. In addition, volatility in our stock price could increase the risk of securities litigation and other claims.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enthusiasm for artificial intelligence, GPUs and computing infrastructure may be temporary, concentrated, cyclical or disconnected from our ability to benefit from it, and demand for our anticipated business may not develop as expected.</w:t>
      </w:r>
    </w:p>
    <w:p>
      <w:pPr>
        <w:spacing w:after="0" w:line="5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anticipated Electronics Infrastructure Business is premised in part on expected demand for computing infrastructure, including infrastructure capable of supporting artificial intelligence and machine learning workloads. Market interest in these areas may fluctuate significantly and may be affected by technological shifts, customer spending patterns, economic conditions, changes in competitive offerings, regulatory developments and other factors beyond our control. Demand may also be affected by changes in model architectures, software optimization, inference efficiency, the adoption of alternative chips or system designs, greater utilization of existing installed capacity, shifts from training to inference workloads, or the ability of hyperscalers and other large market participants to internalize demand. As a result, growth in the AI sector may not translate into corresponding demand for the assets we acquire or the business model we seek to develop.</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complete the purchase and lease of the Electronics Assets, including the Purchased GPU Assets, on the terms, in the amounts or on the timeline we currently anticipate, or at all.</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As disclosed, using proceeds from the initial tranche of the Convertible Notes, the Company, through its wholly owned subsidiary (the “Lessor”), escrowed funds for Lessor’s initial purchase of server equipment utilizing current-generation NVIDIA Blackwell GPUs (the “Purchased GPU Assets”). The escrowed funds are subject to release upon delivery of final invoices, which is expected within 14 days. Our anticipated Electronics Infrastructure Business depends in significant part on our ability to identify, acquire and monetize graphics processing units and related high-performance computing infrastructure and other Electronics Assets, including the Purchased GPU Assets. There can be no assurance that we will be able to complete the purchase of any such Electronics Assets, including the Purchased GPU Assets, enter into leases or other monetization arrangements with respect to such assets, or do so on terms, in quantities or on a timeline consistent with our current expectations. The completion of any such acquisitions or monetization transactions may be subject to numerous conditions, uncertainties and contingencies, including the availability of financing, the willingness of counterparties to transact, the availability and pricing of suitable assets, completion of diligence, negotiation of definitive documentation, receipt of any required consents or approvals, logistics and deployment considerations, market conditions and other factors beyond our control.</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Even if we are able to acquire Electronics Assets or enter into leases or other monetization arrangements, the terms of such transactions may differ materially from what we currently anticipate, including with respect to purchase price, lease rates, duration, return conditions, risk allocation, maintenance obligations, hosting arrangements, insurance requirements, default provisions, residual value assumptions, counterparty protections and other economic or operational terms. If we are unable to complete such transactions, if they are delayed, or if they are completed only on less favorable terms than we expect, our ability to implement our anticipated Electronics Infrastructure Business could be materially adversely affected. In such circumstances, we may be unable to deploy capital effectively, generate expected revenue, achieve anticipated returns, satisfy our liquidity needs, execute our business plan or avoid pursuing additional financing, curtailing operations or other strategic alternatives, including dissolution.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AI technologies, model architectures, software optimization and customer procurement strategies may reduce demand for the types of Electronics Assets we expect to acquire or may shift value to participants other than us.</w:t>
      </w:r>
    </w:p>
    <w:p>
      <w:pPr>
        <w:spacing w:after="0" w:line="5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AI and high-performance computing markets are evolving rapidly, and changes in model design, inference techniques, software optimization, workload management, chip architectures, custom silicon, integrated hardware-software platforms and cloud procurement models may reduce demand for particular categories of GPUs or other Electronics Assets or shorten their useful economic lives. In addition, value in the AI ecosystem may accrue disproportionately to chip designers, hyperscalers, cloud platforms, model developers, software providers or vertically integrated operators, rather than to independent owners or lessors of computing equipment. If technological developments or changes in customer behavior reduce demand for the assets we acquire, compress pricing, shorten deployment periods or otherwise diminish the economics of our anticipated business model, our business and prospects could be materially adversely affected.</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Demand for AI-related or high-performance computing infrastructure may not grow as expected, may grow more slowly than anticipated, may become concentrated in the hands of a small number of large incumbents, or may be satisfied through technologies, business models or providers that do not benefit us. Customers may prefer to procure computing capacity from hyperscale cloud providers, vertically integrated platforms, strategic partners or operators with established technical,</w:t>
      </w:r>
    </w:p>
    <w:p>
      <w:pPr>
        <w:sectPr>
          <w:pgSz w:w="11900" w:h="16838" w:orient="portrait"/>
          <w:cols w:equalWidth="0" w:num="1">
            <w:col w:w="11000"/>
          </w:cols>
          <w:pgMar w:left="440" w:top="266" w:right="459" w:bottom="1440" w:gutter="0" w:footer="0" w:header="0"/>
        </w:sectPr>
      </w:pPr>
    </w:p>
    <w:bookmarkStart w:id="206" w:name="page207"/>
    <w:bookmarkEnd w:id="20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operational and financing capabilities, rather than from us. In addition, current market enthusiasm may reflect speculative activity, temporary shortages, unusually strong capital spending by a limited number of participants or expectations that are not sustained. If market enthusiasm proves temporary, if capital investment in this sector declines, if AI workloads become less infrastructure-intensive than expected or if demand for our anticipated offerings does not materialize, our strategy may not succeed.</w:t>
      </w:r>
    </w:p>
    <w:p>
      <w:pPr>
        <w:spacing w:after="0" w:line="2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GPUs and related computing infrastructure are characterized by rapid technological change, vendor concentration and supply-chain dependencies, including dependencies involving advanced chip fabrication, and our Electronics Assets may become obsolete or less available more quickly than we expect.</w:t>
      </w:r>
    </w:p>
    <w:p>
      <w:pPr>
        <w:spacing w:after="0" w:line="6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value of GPUs and related high-performance computing infrastructure depends in significant part on technological relevance, performance, efficiency, software compatibility, customer preferences, vendor roadmaps and the pace of product innovation. These factors may change rapidly. New generations of equipment may render existing Electronics Assets less competitive, less desirable or materially less valuable over short periods of time. In addition, the development and supply of advanced GPUs and related components are highly concentrated among a limited number of designers, manufacturers, foundries, packaging providers and other supply-chain participants, including third parties involved in advanced semiconductor fabrication and related processes. Disruptions, delays, shortages, allocation decisions, quality issues, capacity constraints or geopolitical events affecting any such participants, including TSMC or other key semiconductor manufacturing or advanced-packaging providers, could materially affect the availability, cost, timing, performance characteristics or commercial value of the Electronics Assets we seek to acquire or monetize.</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the Electronics Assets we acquire become technologically outdated, difficult to deploy, incompatible with evolving software or customer requirements, less energy efficient than competing assets or otherwise less commercially attractive, we may be unable to monetize them at anticipated rates or at all. We may also be required to sell such assets at reduced prices, incur impairment charges, accelerate depreciation or commit additional capital to remain competitive. In addition, if future equipment generations are delayed, supply constrained, repriced, reallocated to other customers, subject to export restrictions or otherwise affected by disruptions involving semiconductor foundries, advanced packaging capacity, memory supply, interconnect components, networking equipment or other critical inputs, the competitive positioning and residual value of our existing or targeted Electronics Assets may be adversely affected in ways that are difficult to predict. Any such developments could materially adversely affect our business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Electronics Assets at prices that do not permit us to earn acceptable returns.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markets for GPUs and related infrastructure are highly competitive, supply-constrained and subject to pricing volatility. As a result, we may acquire Electronics Assets at elevated prices or on terms that later prove unattractive. The profitability of our anticipated business would depend on our ability to acquire assets at prices that permit attractive monetization, taking into account financing costs, carrying costs, utilization rates, residual value risk, operational expenses, maintenance, insurance and other factors. If we overpay for Electronics Assets, if market prices for such assets decline after acquisition, if customer pricing weakens, if utilization is lower than expected or if financing costs rise, the returns on our assets may be materially lower than anticipated, and we may incur losses. Our ability to forecast the value and returns of Electronics Assets may be limited, particularly given our lack of operating history in this business.</w:t>
      </w:r>
    </w:p>
    <w:p>
      <w:pPr>
        <w:sectPr>
          <w:pgSz w:w="11900" w:h="16838" w:orient="portrait"/>
          <w:cols w:equalWidth="0" w:num="1">
            <w:col w:w="10960"/>
          </w:cols>
          <w:pgMar w:left="440" w:top="270" w:right="499" w:bottom="1440" w:gutter="0" w:footer="0" w:header="0"/>
        </w:sectPr>
      </w:pPr>
    </w:p>
    <w:bookmarkStart w:id="207" w:name="page208"/>
    <w:bookmarkEnd w:id="207"/>
    <w:p>
      <w:pPr>
        <w:jc w:val="both"/>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be unable to source sufficient Electronics Assets on acceptable terms, in desired quantities or on a timely basis due to supply constraints, allocation practices and concentrated industry dependencies, including dependencies relating to TSMC and other key supply-chain participants.</w:t>
      </w:r>
    </w:p>
    <w:p>
      <w:pPr>
        <w:spacing w:after="0" w:line="2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anticipated strategy depends on our ability to identify, acquire and deploy GPUs and related computing infrastructure. The supply of such assets may be constrained due to strong demand, manufacturing limitations, vendor allocation practices, supply chain disruptions, geopolitical events, export restrictions, tariffs, logistics challenges or other factors. Supply may also be adversely affected by concentration in semiconductor design, foundry capacity, advanced packaging, high-bandwidth memory, substrate availability, networking components, rack-level integration, data center equipment and other upstream inputs and services. In particular, a substantial portion of the industry’s supply of advanced AI chips depends on a limited number of manufacturing and packaging participants, including TSMC and other critical providers. Any disruption, delay, reprioritization, allocation decision, yield problem, natural disaster, cyber incident, labor issue, trade restriction, military conflict, political tension involving Taiwan or other adverse event affecting those participants or regions could materially impair the availability, timing or cost of Electronics Assets. We will also face competition from larger or more established buyers with stronger relationships, greater purchasing power and more technical expertise. If we are unable to source suitable Electronics Assets in sufficient quantities, on desired schedules or at prices and terms we consider acceptable, we may be unable to execute our strategy, satisfy customer needs, achieve scale or generate expected returns. Delays or constraints in asset sourcing could materially adversely affect our business and prospects.</w:t>
      </w:r>
    </w:p>
    <w:p>
      <w:pPr>
        <w:spacing w:after="0" w:line="29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business model depends on assumptions regarding customer demand, pricing, utilization, residual values and monetization opportunities that may prove incorrect.</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We expect that the Electronics Infrastructure Business may involve sales, leases, sale/lease-back transactions and other monetization structures. The success of these arrangements would depend on numerous assumptions, including assumptions regarding demand from potential customers, the pricing they are willing to pay, contract duration, uptime requirements, asset utilization, residual values, maintenance costs, power and hosting costs, financing costs, counterparty creditworthiness and the availability of secondary market opportunities. If any of these assumptions prove to be incorrect, our anticipated business model may not be viable or may be materially less profitable than we currently expect. In particular, lower-than-expected utilization, pricing pressure, higher-than-expected costs, counterparty defaults or lower residual values could materially adversely affect our revenues, margins, asset values and overall business.</w:t>
      </w:r>
    </w:p>
    <w:p>
      <w:pPr>
        <w:spacing w:after="0" w:line="2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enter into profitable leases, sale/lease-back transactions or other monetization arrangements, the anticipated Electronics Infrastructure Business may fail.</w:t>
      </w:r>
    </w:p>
    <w:p>
      <w:pPr>
        <w:spacing w:after="0" w:line="5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Our anticipated strategy contemplates the monetization of Electronics Assets through one or more transaction structures, including sales, leases and sale/lease-back arrangements. There can be no assurance that we will be able to identify counterparties willing to enter into such arrangements on commercially acceptable terms or at all. Even if such arrangements are entered into, they may not be profitable, may involve significant risk allocation in favor of the counterparty, may require substantial customization or negotiation and may expose us to operational, legal, tax, accounting and credit risks. If we are unable to structure and consummate attractive monetization transactions, our Electronics Assets may remain underutilized or idle, our returns may be materially impaired and our anticipated business may not be successful.</w:t>
      </w:r>
    </w:p>
    <w:p>
      <w:pPr>
        <w:sectPr>
          <w:pgSz w:w="11900" w:h="16838" w:orient="portrait"/>
          <w:cols w:equalWidth="0" w:num="1">
            <w:col w:w="10960"/>
          </w:cols>
          <w:pgMar w:left="440" w:top="266" w:right="499" w:bottom="1440" w:gutter="0" w:footer="0" w:header="0"/>
        </w:sectPr>
      </w:pPr>
    </w:p>
    <w:bookmarkStart w:id="208" w:name="page209"/>
    <w:bookmarkEnd w:id="208"/>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revenues may be concentrated in a small number of customers, counterparties, transactions or assets, and the loss of any significant customer or transaction could materially harm us.</w:t>
      </w:r>
    </w:p>
    <w:p>
      <w:pPr>
        <w:spacing w:after="0" w:line="5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Because our anticipated Electronics Infrastructure Business would be early stage, we may initially depend on a small number of customers, transactions, financing sources, vendors, facilities or asset deployments. As a result, our revenues and business prospects may be highly concentrated. The loss, reduction, delay, default, insolvency or dispute involving any significant customer or counterparty could materially adversely affect our revenues, cash flows and prospects. In addition, concentration may reduce our negotiating leverage, increase earnings volatility and make our business more susceptible to disruptions affecting particular counterparties or assets. If we are unable to diversify our customer base or monetization channels over time, our business could remain subject to heightened risk.</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our leases, monetization arrangements or other transactions may default, terminate early, fail to renew or otherwise not perform as expected.</w:t>
      </w:r>
    </w:p>
    <w:p>
      <w:pPr>
        <w:spacing w:after="0" w:line="51" w:lineRule="exact"/>
        <w:rPr>
          <w:sz w:val="20"/>
          <w:szCs w:val="20"/>
          <w:color w:val="auto"/>
        </w:rPr>
      </w:pPr>
    </w:p>
    <w:p>
      <w:pPr>
        <w:ind w:right="300" w:firstLine="440"/>
        <w:spacing w:after="0" w:line="255" w:lineRule="auto"/>
        <w:rPr>
          <w:sz w:val="20"/>
          <w:szCs w:val="20"/>
          <w:color w:val="auto"/>
        </w:rPr>
      </w:pPr>
      <w:r>
        <w:rPr>
          <w:rFonts w:ascii="Times New Roman" w:cs="Times New Roman" w:eastAsia="Times New Roman" w:hAnsi="Times New Roman"/>
          <w:sz w:val="18"/>
          <w:szCs w:val="18"/>
          <w:color w:val="auto"/>
        </w:rPr>
        <w:t>If we enter into leases, sale/lease-back transactions, financing arrangements, hosting agreements or other commercial contracts, we will be exposed to counterparty credit, performance and enforcement risk. Our counterparties may become unwilling or unable to perform their obligations, may dispute contractual terms, may seek concessions, may terminate agreements early, may fail to renew agreements or may become insolvent or bankrupt. Any such nonperformance could reduce our revenues, impair the value of our Electronics Assets, increase our costs, require costly enforcement efforts, result in litigation or force us to re-market assets on less favorable terms. These risks may be heightened in periods of economic volatility or in emerging or rapidly changing markets. Counterparty nonperformance could materially adversely affect our business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Electronics Infrastructure Business may be exposed to residual value risk and remarketing risk.</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we acquire Electronics Assets and seek to monetize them through leases, sale/lease-back transactions or other arrangements, the returns on those assets may depend in part on the residual value of the assets at the end of a contractual term or anticipated holding period. The residual value of GPUs and related computing infrastructure may be difficult to predict and may decline materially due to technological change, changes in customer preferences, increased supply, reduced demand, the introduction of newer or more efficient products, changes in software compatibility, changes in energy efficiency expectations or other market developments. If the residual value of any Electronics Assets is lower than we expect, we may be unable to sell, re-lease, redeploy or otherwise monetize those assets on favorable terms or at all. We may also be required to reduce pricing, accept lower returns, record impairment charges or incur additional costs in remarketing or reconfiguring assets. Any such developments could materially and adversely affect our business, financial condition, results of operations and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requires specialized technical, operational, commercial and financial expertise that we may be unable to attract, retain or develop.</w:t>
      </w:r>
    </w:p>
    <w:p>
      <w:pPr>
        <w:spacing w:after="0" w:line="5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successful implementation of our anticipated strategy will depend on our ability to recruit, retain and manage personnel with specialized expertise in areas such as GPUs, high-performance computing, infrastructure operations, leasing, asset finance, data center economics, enterprise sales, procurement, logistics, compliance, cybersecurity, valuation and accounting. Such personnel are in high demand and may command compensation packages that are significantly greater</w:t>
      </w:r>
    </w:p>
    <w:p>
      <w:pPr>
        <w:sectPr>
          <w:pgSz w:w="11900" w:h="16838" w:orient="portrait"/>
          <w:cols w:equalWidth="0" w:num="1">
            <w:col w:w="11000"/>
          </w:cols>
          <w:pgMar w:left="440" w:top="266" w:right="459" w:bottom="1440" w:gutter="0" w:footer="0" w:header="0"/>
        </w:sectPr>
      </w:pPr>
    </w:p>
    <w:bookmarkStart w:id="209" w:name="page210"/>
    <w:bookmarkEnd w:id="20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those we have historically paid. We may be unable to attract suitable personnel on acceptable terms or at all. Competition for talent in the computing infrastructure and AI ecosystem is intense, and our limited operating history in the new business, uncertain prospects and post-Asset Sale profile may make us a less attractive employer than larger, more established competitors. If we fail to hire and retain the personnel necessary to operate the business, our strategy may not succeed.</w:t>
      </w:r>
    </w:p>
    <w:p>
      <w:pPr>
        <w:spacing w:after="0" w:line="28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substantial difficulties integrating new personnel and establishing an organization capable of operating the anticipated Electronics Infrastructure Business.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Even if we are able to recruit experienced personnel, we may face substantial integration challenges. Building a new operating team in a materially different business may create uncertainty regarding roles, reporting lines, decision-making, performance expectations and accountability. Rapid organizational change may reduce morale, increase turnover, create inefficiencies and distract management. Moreover, new personnel may have differing strategic views, risk tolerances or operating styles. We may also be required to rely heavily on a relatively small number of individuals, increasing key-person risk. Any inability to integrate personnel successfully and build an effective organization could materially impair our execution of the anticipated business plan.</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and Board may be distracted by the Asset Sale, financing transactions, litigation risk, organizational transition and potential dissolution alternatives.</w:t>
      </w:r>
    </w:p>
    <w:p>
      <w:pPr>
        <w:spacing w:after="0" w:line="5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matters currently being undertaken by our management involve substantial complexity and may require significant time and attention from our management team and Board. In addition to the execution of the Asset Sale and the contemplated financing, we must manage the sale and transition of the Company’s historical business, develop and implement a new strategy, address public company obligations, and communicate with investors and stakeholders. These demands may divert management and Board attention from the day-to-day development and execution of the Electronics Infrastructure Business and may impair our ability to make timely and effective operational decisions. If our management team and Board are unable to manage these multiple priorities successfully, our business and prospects could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build new systems, policies, procedures and internal controls and failures in doing so could harm us.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Electronics Infrastructure Business would likely require new or significantly revised systems, processes and controls, including for asset acquisition, deployment, valuation, inventory and fixed asset management, customer contracting, revenue recognition, credit evaluation, compliance, insurance, cybersecurity, maintenance, financial reporting and disclosure controls. We may not be able to develop and implement such systems and controls effectively or on a timely basis. If we fail to establish adequate systems, policies, procedures and internal controls, we may experience operational inefficiencies, financial reporting errors, control deficiencies, asset losses, compliance failures, customer disputes, litigation exposure and reputational harm. Any such failures could materially adversely affect our business, results of operations, financial condition and ability to satisfy public company obligations.</w:t>
      </w:r>
    </w:p>
    <w:p>
      <w:pPr>
        <w:sectPr>
          <w:pgSz w:w="11900" w:h="16838" w:orient="portrait"/>
          <w:cols w:equalWidth="0" w:num="1">
            <w:col w:w="10980"/>
          </w:cols>
          <w:pgMar w:left="440" w:top="270"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incur significant losses arising from equipment failures, downtime, maintenance issues, defects, damage or other operational disruptions.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Electronics Assets and related infrastructure are subject to operational risks, including hardware failure, defects, overheating, power interruptions, cooling failures, networking issues, software incompatibility, improper configuration, transportation damage, theft, maintenance errors and other disruptions. Such events may reduce performance, delay deployment, impair availability, increase operating costs, cause contractual disputes or expose us to claims for damages. If we are unable to prevent or mitigate these operational risks effectively, our ability to monetize Electronics Assets could be materially impaired. In addition, equipment failures or disruptions could harm our reputation, reduce customer trust and materially adversely affect our revenues and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business may expose us to additional cybersecurity, data security, technology integrity and related risks.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Although our role in any given transaction may vary, ownership, deployment, hosting or monetization of Electronics Assets may expose us to additional cybersecurity, data protection, technology integrity and related risks. These risks may arise from vulnerabilities in hardware, firmware, software, networking, remote access tools, management systems or third-party service providers. Malicious actors may seek to disrupt operations, gain unauthorized access to systems, exfiltrate data, misuse computing resources or impair asset functionality. Cybersecurity incidents or security vulnerabilities could result in downtime, financial losses, reputational harm, legal claims, regulatory scrutiny, contractual liability and increased costs. We may also be required to incur significant expenditures to detect, prevent, respond to and remediate such issues. As our anticipated business develops, these risks may increase in significance.</w:t>
      </w:r>
    </w:p>
    <w:p>
      <w:pPr>
        <w:spacing w:after="0" w:line="29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third parties across a concentrated and complex supply chain for hosting, operation, logistics, maintenance, procurement, manufacturing and other critical functions, and failures by those third parties could materially harm us.</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anticipated business may depend heavily on third parties, including manufacturers, designers, foundries, advanced-packaging providers, distributors, brokers, resellers, hosting providers, data center operators, logistics providers, maintenance providers, insurers, technical consultants, networking providers and financing counterparties. We may have limited control over these third parties, and their failure to perform could disrupt our business. Third-party failures may include delays, service interruptions, insolvency, breaches of contract, negligence, cybersecurity incidents, quality issues, cost increases, labor disputes, regulatory violations, capacity constraints, allocation decisions or other misconduct. Because important parts of the AI and semiconductor ecosystem are concentrated in a relatively small number of suppliers and service providers, including participants involved in advanced chip fabrication and packaging, adverse developments affecting any such participant may have outsized effects on pricing, availability and deployment timelines throughout the market. If any critical third party fails to perform adequately or if we are unable to replace such party on acceptable terms, our business, financial condition and prospects could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asset concentration risk.</w:t>
      </w:r>
    </w:p>
    <w:p>
      <w:pPr>
        <w:spacing w:after="0" w:line="121" w:lineRule="exact"/>
        <w:rPr>
          <w:sz w:val="20"/>
          <w:szCs w:val="20"/>
          <w:color w:val="auto"/>
        </w:rPr>
      </w:pPr>
    </w:p>
    <w:p>
      <w:pPr>
        <w:ind w:right="240" w:firstLine="440"/>
        <w:spacing w:after="0" w:line="255" w:lineRule="auto"/>
        <w:rPr>
          <w:sz w:val="20"/>
          <w:szCs w:val="20"/>
          <w:color w:val="auto"/>
        </w:rPr>
      </w:pPr>
      <w:r>
        <w:rPr>
          <w:rFonts w:ascii="Times New Roman" w:cs="Times New Roman" w:eastAsia="Times New Roman" w:hAnsi="Times New Roman"/>
          <w:sz w:val="18"/>
          <w:szCs w:val="18"/>
          <w:color w:val="auto"/>
        </w:rPr>
        <w:t>Especially during the early stages of our anticipated Electronics Infrastructure Business, we may invest in a limited number of high-value Electronics Assets, a limited number of equipment types or configurations, or assets associated with a limited number of use cases, counterparties or deployment environments. As a result, our business and financial performance may be disproportionately affected by adverse developments affecting particular assets, asset categories or deployment strategies. If a concentrated set of assets becomes obsolete, is difficult to deploy, experiences operational issues, declines in market value, fails to meet customer needs or is adversely affected by changes in technology, pricing, regulation or customer demand, our business could be materially harmed. Asset concentration may also increase volatility in our revenues, returns and asset values and reduce our ability to manage risk through diversification.</w:t>
      </w:r>
    </w:p>
    <w:p>
      <w:pPr>
        <w:sectPr>
          <w:pgSz w:w="11900" w:h="16838" w:orient="portrait"/>
          <w:cols w:equalWidth="0" w:num="1">
            <w:col w:w="11000"/>
          </w:cols>
          <w:pgMar w:left="440" w:top="266" w:right="459" w:bottom="1440" w:gutter="0" w:footer="0" w:header="0"/>
        </w:sectPr>
      </w:pPr>
    </w:p>
    <w:bookmarkStart w:id="211" w:name="page212"/>
    <w:bookmarkEnd w:id="21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face vendor concentration risk, including risk arising from reliance on a small number of chip designers, semiconductor manufacturers, foundries, packaging providers and other concentrated supply-chain participants.</w:t>
      </w:r>
    </w:p>
    <w:p>
      <w:pPr>
        <w:spacing w:after="0" w:line="5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market for GPUs and related computing infrastructure may depend on a limited number of manufacturers, chip designers, foundries, advanced-packaging providers, memory suppliers, networking vendors, distributors, resellers or other supply channels. To the extent our anticipated business relies on equipment produced or supplied by a small number of vendors, we may be exposed to significant vendor concentration risk. Those vendors may change pricing, reduce supply, prioritize other customers, alter product specifications, limit warranty or support coverage, impose restrictive contractual terms, change channel relationships or discontinue certain product lines. In addition, many advanced AI systems depend on highly concentrated semiconductor manufacturing and packaging ecosystems, including TSMC and other key industry participants. Any deterioration in our relationship with key vendors, or any adverse development affecting a major vendor or supply-chain participant, including manufacturing delays, yield issues, packaging bottlenecks, allocation decisions, financial distress, regulatory restrictions, supply chain disruptions, cyber incidents, natural disasters, labor disruptions, geopolitical tensions involving Taiwan, litigation or reputational harm, could impair our ability to source, maintain, support or monetize Electronics Assets. Our dependence on a limited number of vendors and industry participants could materially and adversely affect our anticipated business.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affecting TSMC, Taiwan or other critical semiconductor manufacturing hubs could materially impair the availability, cost and value of the Electronics Assets on which our anticipated business would depend.</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significant portion of the global supply of advanced semiconductors used in high-performance computing and AI applications is manufactured, directly or indirectly, through highly concentrated supply chains centered in Taiwan and involving TSMC and other specialized industry participants. As a result, natural disasters, power shortages, water shortages, industrial accidents, cyber incidents, equipment failures, labor disruptions, export controls, trade restrictions, sanctions, blockades, military activity, heightened tensions between China and Taiwan, changes in U.S. or foreign policy, or other geopolitical or operational disruptions affecting Taiwan, TSMC or related suppliers could materially reduce the availability of advanced GPUs and related components, increase lead times and costs, or cause abrupt changes in market pricing and allocation. Any such event could impair our ability to acquire Electronics Assets, delay deployments, reduce utilization, increase capital requirements, adversely affect residual values and materially harm our business, financial condition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logistics, transportation and custody risks.</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Electronics Assets may consist of high-value, specialized and potentially sensitive equipment that must be shipped, stored, installed, removed, redeployed and, in some cases, recovered or returned. These activities may subject us to risks of loss, theft, damage, delay, misdelivery, improper handling, installation error, environmental exposure, chain-of-custody disputes and other logistics-</w:t>
      </w:r>
    </w:p>
    <w:p>
      <w:pPr>
        <w:sectPr>
          <w:pgSz w:w="11900" w:h="16838" w:orient="portrait"/>
          <w:cols w:equalWidth="0" w:num="1">
            <w:col w:w="11000"/>
          </w:cols>
          <w:pgMar w:left="440" w:top="266" w:right="459" w:bottom="1440" w:gutter="0" w:footer="0" w:header="0"/>
        </w:sectPr>
      </w:pPr>
    </w:p>
    <w:bookmarkStart w:id="212" w:name="page213"/>
    <w:bookmarkEnd w:id="21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issues. Such risks may be heightened when assets are moved among facilities, across jurisdictions or through third-party logistics networks. If Electronics Assets are damaged, lost, delayed or mishandled, we may incur uninsured or underinsured losses, be unable to deploy equipment on schedule, experience interruptions in monetization, face disputes with customers or counterparties, or suffer reputational harm. Any such developments could materially adversely affect our business, financial condition and operating results.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anticipated Electronics Infrastructure Business may be adversely affected by export controls, trade restrictions, tariffs, sanctions and other geopolitical or regulatory developments.</w:t>
      </w:r>
    </w:p>
    <w:p>
      <w:pPr>
        <w:spacing w:after="0" w:line="5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GPUs and related computing equipment may be subject to export control laws, sanctions regimes, import restrictions, tariffs, trade policies and other legal or geopolitical constraints. Regulatory regimes applicable to advanced computing technologies may change rapidly. Such developments could limit the availability of equipment, restrict our ability to acquire or transfer assets, reduce the universe of permissible counterparties, increase costs, delay transactions or expose us to compliance risk. In addition, geopolitical tensions, changes in trade relations, sanctions enforcement or other international developments may disrupt manufacturing and supply chains or materially affect the markets in which we seek to operate. Compliance with these laws and developments may require substantial resources and management attention. Any failure to comply, or any adverse legal or geopolitical development, could materially adversely affect our business.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 regulation or government policy relating to artificial intelligence, advanced computing, energy usage, environmental matters or data center operations could materially adversely affect us.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regulatory environment applicable to artificial intelligence, advanced computing, high-performance infrastructure, energy use, environmental impacts and data center-related operations may evolve significantly. New or modified laws, rules, regulations or government policies could restrict the deployment, ownership, financing, hosting or operation of Electronics Assets or could increase compliance burdens and costs. For example, governments may impose requirements relating to licensing, disclosures, energy efficiency, environmental permitting, emissions, procurement practices, customer due diligence, use restrictions, cybersecurity or reporting. Compliance with current and future legal requirements may be costly and time consuming, and we may be unable to do so effectively. Any adverse regulatory changes could materially harm our business and strategy.</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business may depend on power availability, electricity pricing, cooling capacity and other infrastructure conditions that are beyond our control.</w:t>
      </w:r>
    </w:p>
    <w:p>
      <w:pPr>
        <w:spacing w:after="0" w:line="5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High-performance computing equipment may require substantial electrical power, cooling capacity, networking resources and suitable physical infrastructure. Power availability and pricing, cooling requirements, transmission constraints, facility availability and related infrastructure limitations may materially affect the cost, feasibility, location and profitability of deploying Electronics Assets. Power and cooling constraints may delay deployments, limit utilization, increase operating costs or reduce the competitiveness of our assets relative to newer or more efficient equipment. In addition, power prices and availability may be affected by weather, regulation, utility policy, grid constraints or geopolitical events. If we are unable to obtain suitable infrastructure conditions on acceptable terms, our anticipated business may be materially adversely affected.</w:t>
      </w:r>
    </w:p>
    <w:p>
      <w:pPr>
        <w:sectPr>
          <w:pgSz w:w="11900" w:h="16838" w:orient="portrait"/>
          <w:cols w:equalWidth="0" w:num="1">
            <w:col w:w="10980"/>
          </w:cols>
          <w:pgMar w:left="440" w:top="270" w:right="479" w:bottom="1440" w:gutter="0" w:footer="0" w:header="0"/>
        </w:sectPr>
      </w:pPr>
    </w:p>
    <w:bookmarkStart w:id="213" w:name="page214"/>
    <w:bookmarkEnd w:id="21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be required to record significant impairment charges, valuation adjustments or other accounting charges relating to Electronics Assets or our continuing operations.</w:t>
      </w:r>
    </w:p>
    <w:p>
      <w:pPr>
        <w:spacing w:after="0" w:line="5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value of Electronics Assets may fluctuate significantly due to technological change, market conditions, pricing trends, utilization levels, residual value expectations, changes in financing costs or other factors. If the carrying value of any Electronics Assets exceeds recoverable value or fair value, we may be required to record impairment charges or other accounting adjustments, which could be material. In addition, the transition in our business model may require us to make significant judgments and estimates regarding asset lives, residual values, revenue recognition, financing arrangements, contingencies, liabilities and other accounting matters. Such judgments may later prove incorrect. Material impairment charges, valuation changes or accounting adjustments could adversely affect our results of operations, financial condition and the market price of our Class A common stock.</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Insurance may not adequately cover losses associated with Electronics Assets, technology operations, business interruption, cyber incidents or other claims.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Insurance for specialized computing assets and related operations may be expensive, subject to significant exclusions or unavailable in adequate amounts. We may elect to retain some risks ourselves, and even when insurance is available, it may not cover all losses, liabilities, business interruptions or claims to which we may be exposed. Coverage disputes may also arise. If we suffer losses, damage, business interruption, cyber incidents, professional liability claims, commercial disputes or other events not fully covered by insurance, our business and financial condition could be materially adversely affected. In addition, premiums may increase materially over time, reducing the profitability of our anticipated business.</w:t>
      </w:r>
    </w:p>
    <w:p>
      <w:pPr>
        <w:spacing w:after="0" w:line="2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evaluating our future prospects because, after the Asset Sale, we may continue as a public company with a limited operating history in a new business and no historical information relevant to that business.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Following the Asset Sale, investors will have no historical financial information relevant to the anticipated Electronics Infrastructure Business. Our historical financial statements primarily reflect a materially different business. Accordingly, historical results may not be indicative of future performance, and investors may find it difficult to evaluate our prospects, strategy, valuation and risks. This limited visibility may contribute to volatility in our Class A common stock, reduce analyst coverage, impair investor confidence and make it more difficult for us to raise capital. If investors are unable to assess our future prospects accurately, the market price of our Class A common stock could be materially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effective disclosure controls and procedures or internal control over financial reporting.</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evolving business model, potential personnel changes, new financing arrangements, asset acquisitions, possible litigation and changing reporting considerations may increase the complexity of our financial reporting and public disclosures. If we are unable to maintain effective disclosure controls and procedures and internal control over financial reporting, we may fail to report information accurately and timely, may be required to restate financial statements, may become subject to SEC scrutiny or stockholder claims and may suffer reputational harm. Any such failure could materially adversely affect our business and the market price of our Class A common stock.</w:t>
      </w:r>
    </w:p>
    <w:p>
      <w:pPr>
        <w:sectPr>
          <w:pgSz w:w="11900" w:h="16838" w:orient="portrait"/>
          <w:cols w:equalWidth="0" w:num="1">
            <w:col w:w="11000"/>
          </w:cols>
          <w:pgMar w:left="440" w:top="266" w:right="459" w:bottom="1440" w:gutter="0" w:footer="0" w:header="0"/>
        </w:sectPr>
      </w:pPr>
    </w:p>
    <w:bookmarkStart w:id="214" w:name="page215"/>
    <w:bookmarkEnd w:id="21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proposed change in our corporate identity and strategic direction may create confusion, reduce credibility and harm our ability to establish the anticipated new business.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Following the Asset Sale, we intend to change our corporate name and cease operating the historical Allbirds footwear business. This change in identity and strategic direction may create confusion among investors, counterparties, employees and other stakeholders regarding who we are, what business we are in and what capabilities we possess. Some market participants may question the credibility or viability of our new strategy or may be reluctant to transact with us until we establish a track record in the new business. Any reputational challenges, uncertainty or skepticism arising from our abrupt change in business and identity could impair our ability to hire personnel, attract counterparties, raise capital and create stockholder value.</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transition away from our historical business and public benefit may adversely affect stakeholder relationships and may give rise to additional disputes or claims.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Following the Asset Sale, we would no longer operate the historical business associated with the Allbirds brand and would no longer continue as a Delaware public benefit corporation focused on environmental conservation. Some stockholders, employees, customers, investors or other stakeholders may view this shift negatively or may assert that the Company has departed from the expectations on which they previously relied. As a result, we may experience reputational harm, stakeholder criticism, books-and-records demands, litigation, derivative claims or other disputes relating to our change in business strategy, corporate identity, public benefit orientation, disclosures or process. Any such matters could be time-consuming, costly and distracting and could materially adversely affect our business and prospects.</w:t>
      </w:r>
    </w:p>
    <w:p>
      <w:pPr>
        <w:spacing w:after="0" w:line="29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substantial stockholder litigation, derivative litigation, securities claims, books-and-records demands and other proceedings in connection with the Asset Sale, the proposed financing, or the transition to the Electronics Infrastructure Business.</w:t>
      </w:r>
    </w:p>
    <w:p>
      <w:pPr>
        <w:spacing w:after="0" w:line="51" w:lineRule="exact"/>
        <w:rPr>
          <w:sz w:val="20"/>
          <w:szCs w:val="20"/>
          <w:color w:val="auto"/>
        </w:rPr>
      </w:pPr>
    </w:p>
    <w:p>
      <w:pPr>
        <w:ind w:right="220" w:firstLine="440"/>
        <w:spacing w:after="0" w:line="253" w:lineRule="auto"/>
        <w:rPr>
          <w:sz w:val="20"/>
          <w:szCs w:val="20"/>
          <w:color w:val="auto"/>
        </w:rPr>
      </w:pPr>
      <w:r>
        <w:rPr>
          <w:rFonts w:ascii="Times New Roman" w:cs="Times New Roman" w:eastAsia="Times New Roman" w:hAnsi="Times New Roman"/>
          <w:sz w:val="18"/>
          <w:szCs w:val="18"/>
          <w:color w:val="auto"/>
        </w:rPr>
        <w:t>Transactions and strategic changes often give rise to litigation and other proceedings. In addition to litigation relating to the Asset Sale, we may face claims and demands arising from the proposed financing, the issuance or potential issuance of securities, alleged dilution, the change in our corporate name and strategy, the elimination of our public benefit corporation status, the adequacy of our disclosures, the role of the Board and management in evaluating and approving the transactions, the rights of the Investor and the possibility that the anticipated Electronics Infrastructure Business may not succeed. Such proceedings may include securities class actions, stockholder derivative actions, fiduciary duty claims, books-and-records demands, appraisal-related claims, claims relating to alleged misstatements or omissions, claims regarding conflicts of interest, creditor disputes and regulatory inquiries or investigations. These matters may be brought regardless of merit and may consume substantial time and resources. Any such proceedings could result in injunctions, delays, settlements, judgments, damages, increased insurance costs, indemnification obligations, adverse publicity and significant legal expenses, any of which could materially adversely affect our business, financial condition and stockholders.</w:t>
      </w:r>
    </w:p>
    <w:p>
      <w:pPr>
        <w:sectPr>
          <w:pgSz w:w="11900" w:h="16838" w:orient="portrait"/>
          <w:cols w:equalWidth="0" w:num="1">
            <w:col w:w="11000"/>
          </w:cols>
          <w:pgMar w:left="440" w:top="266" w:right="459" w:bottom="1440" w:gutter="0" w:footer="0" w:header="0"/>
        </w:sectPr>
      </w:pPr>
    </w:p>
    <w:bookmarkStart w:id="215" w:name="page216"/>
    <w:bookmarkEnd w:id="21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litigation, investigation or claim relating to our proposed new business or the matters described in the Proxy Statement could delay our plans, divert management attention and materially harm us.</w:t>
      </w:r>
    </w:p>
    <w:p>
      <w:pPr>
        <w:spacing w:after="0" w:line="15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Even if any claims asserted against us are without merit, litigation and investigations can be expensive, time-consuming and disruptive. They may divert management attention from implementing our strategy, impair our ability to complete the Asset Sale or financing transactions, reduce available cash, increase professional fees, delay commercial negotiations and harm our reputation with investors, counterparties and employees. In addition, litigation or investigations could cause us to incur substantial settlement costs, judgments, fines, penalties or additional disclosure obligations. These risks may be heightened in light of the significant market interest and stock price volatility that may accompany the matters described in the Proxy Statement. Any such matters could materially adversely affect our business and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anticipated Electronics Infrastructure Business is unsuccessful, we may be unable to continue as a going concern.</w:t>
      </w:r>
    </w:p>
    <w:p>
      <w:pPr>
        <w:spacing w:after="0" w:line="121"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success of our continuing business plan is uncertain. If we are unable to implement the anticipated Electronics Infrastructure Business successfully, generate meaningful revenues, raise sufficient capital, manage costs, satisfy obligations or otherwise sustain operations, we may not be able to continue as a going concern. In such event, we may need to seek additional financing, sell assets, drastically reduce operations, restructure obligations, pursue strategic transactions or dissolve. Any such outcome could materially reduce or eliminate value for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anticipated continuing business is not viable, the Board may determine to pursue dissolution, and stockholders may receive little or no value.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our anticipated Electronics Infrastructure Business is not successfully implemented, if financing is unavailable, if we are unable to source or monetize Electronics Assets, if liabilities exceed expectations or if other adverse developments occur, the Board may determine to pursue dissolution. In a dissolution, the amounts ultimately available for distribution to stockholders, if any, would depend on many factors, including the amount of available cash, the value realized on any remaining assets, the amount of actual and contingent liabilities, reserves for claims, litigation costs, taxes and the expenses of winding up. As a result, stockholders may receive little or no value in a dissolution.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realize the benefits they expect from the proposed transactions and may lose all or a substantial portion of their investment.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Asset Sale, contemplated financing, and anticipated Electronics Infrastructure Business may not produce the benefits that stockholders expect. The Company may fail to execute its continuing business strategy, may experience severe stock price volatility, may be unable to maintain its Nasdaq listing, may incur substantial litigation or financing costs, may be unable to raise additional capital and may ultimately fail. If one or more of these risks materialize, the market price of our Class A common stock could decline materially, and stockholders could lose all or a substantial portion of their investment.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 may consume a disproportionate amount of our remaining resources.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the Asset Sale,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develops more slowly than expected or fails to generate meaningful revenues, these costs may represent a disproportionate burden on our liquidity and financial resources. As a result, a significant portion of our available</w:t>
      </w:r>
    </w:p>
    <w:p>
      <w:pPr>
        <w:sectPr>
          <w:pgSz w:w="11900" w:h="16838" w:orient="portrait"/>
          <w:cols w:equalWidth="0" w:num="1">
            <w:col w:w="11000"/>
          </w:cols>
          <w:pgMar w:left="440" w:top="266" w:right="459" w:bottom="1440" w:gutter="0" w:footer="0" w:header="0"/>
        </w:sectPr>
      </w:pPr>
    </w:p>
    <w:bookmarkStart w:id="216" w:name="page217"/>
    <w:bookmarkEnd w:id="216"/>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may be consumed by public company obligations rather than by investment in the anticipated Electronics Infrastructure Business. If public company costs are greater than expected, or if our remaining resources are less than expected, our ability to execute our strategy, remain listed on Nasdaq, maintain operations and create stockholder value could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analyst coverage, institutional investor interest or market support.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Because the Company would be transitioning away from its historical footwear business and toward a new and largely unproven Electronics Infrastructure Business, securities analysts, institutional investors and other market participants may have difficulty evaluating our business, strategy and valuation. Some analysts may discontinue coverage of the Company, and some institutional investors may be unwilling or unable to invest in a company with our anticipated post-Asset Sale profile. A reduction in analyst coverage, institutional ownership or broader investor interest could reduce liquidity in our Class A common stock, increase volatility, widen bid-ask spreads, impair market visibility and make it more difficult for us to access capital markets on favorable terms. Any such developments could materially adversely affect the market price of our Class A common stock and our overall prospects.</w:t>
      </w:r>
    </w:p>
    <w:p>
      <w:pPr>
        <w:spacing w:after="0" w:line="29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tax risks associated with asset acquisitions, leasing structures, sale/lease-back transactions and other monetization arrangements.</w:t>
      </w:r>
    </w:p>
    <w:p>
      <w:pPr>
        <w:spacing w:after="0" w:line="51"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Our anticipated Electronics Infrastructure Business may involve complex domestic, state, local and potentially international tax issues. The tax treatment of asset acquisitions, ownership, leasing transactions, sale/lease-back structures, financing arrangements, depreciation, revenue streams, property taxes, sales and use taxes, transfer taxes and other aspects of our anticipated business may be uncertain and may depend on highly technical rules and factual determinations. Tax authorities may challenge our positions, and changes in tax law, tax rates, regulations, administrative guidance or judicial interpretations could adversely affect the economics of our business model. In addition, tax compliance associated with asset-intensive and multi-jurisdictional operations may be costly and burdensome. If our tax positions are challenged successfully, or if the expected tax treatment of our transactions is not realized, we could incur additional taxes, penalties, interest and professional fees, which could materially and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favorable accounting treatment for aspects of our anticipated monetization structures.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accounting treatment of leases, sale/lease-back transactions, structured financings, revenue arrangements, residual interests and other monetization structures may be complex and may require significant judgment. The accounting for such transactions could affect the timing and amount of recognized revenue, expenses, assets, liabilities, depreciation, gains, losses and cash flow presentation. If the accounting treatment of our transactions differs from what we expect, or if our judgments and estimates are later challenged by our auditors, regulators or others, we may be required to revise our financial statements, record additional charges, change the classification of transactions, alter our disclosures or restate previously issued financial statements. Any such developments could materially and adversely affect our reported results, increase costs, divert management attention and impair investor confidence.</w:t>
      </w:r>
    </w:p>
    <w:p>
      <w:pPr>
        <w:sectPr>
          <w:pgSz w:w="11900" w:h="16838" w:orient="portrait"/>
          <w:cols w:equalWidth="0" w:num="1">
            <w:col w:w="11000"/>
          </w:cols>
          <w:pgMar w:left="440" w:top="270"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 Relating to the Charter Amendment Proposal in our Proxy Statement</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Charter Amendment Proposal in our Proxy Statement (the “Charter Amendment Proposal”) is approved, we will no longer be required to operate for the purposes included in our initial charter, which may harm our relationships with stakeholders and may adversely affect perceptions of our continuing business strategy and governance.</w:t>
      </w:r>
    </w:p>
    <w:p>
      <w:pPr>
        <w:spacing w:after="0" w:line="6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we are no longer operating as a Delaware public benefit corporation, customers, employees, business partners, investors and other stakeholders may view that change negatively. Our current status as a public benefit corporation requires that we produce a public benefit and operate in a responsible and sustainable manner, while balancing our stockholders’ pecuniary interests, the best interests of those materially affected by our conduct, and the specific public benefit of environmental conservation that is identified by our Certificate of Incorporation. Eliminating that status could damage our reputation, adversely affect our ability to attract and retain customers, employees and partners, and negatively impact our business, financial condition and results of operations. If the Charter Amendment Proposal is adopted, we would be operated in the best interests of our stockholders, without balancing the best interests of our stockholders against the public benefit of environmental conservation.</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Amending our charter as proposed in the Charter Amendment Proposal could subject us to stockholder, stakeholder or other disputes, litigation or claims, including claims relating to our change in business model, identity and disclosures.</w:t>
      </w:r>
    </w:p>
    <w:p>
      <w:pPr>
        <w:spacing w:after="0" w:line="5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Governance changes may give rise to litigation, books-and-records demands, stockholder claims or other disputes. Some institutional investors, impact investors, ESG-focused investors and other stockholders may value our current commitment to the specific public benefit identified in our Certificate of Incorporation and may sell their stock or make claims with respect to the change in focus of the Company. Any such matters, whether or not meritorious, could be time-consuming and expensive, divert management’s attention, delay or complicate the implementation of the proposed transition and result in significant legal, advisory and other costs. Any of these matters could adversely affect our reputation, business and financial condition and reduce funds otherwise available for operations or future stockholder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Nasdaq Proposal</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Approval of the Nasdaq Proposal would permit the issuance of a significant number of additional shares of common stock, which would dilute existing stockholders and future financings may result in additional and substantial dilution.</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this proposal is approved, we may issue a substantial number of additional shares of common stock upon conversion of the Convertible Notes in excess of the 19.99% limit otherwise imposed by Nasdaq Listing Rule 5635(d). Any such issuance would dilute the ownership interests of existing stockholders, including their voting power and economic rights, and could reduce existing stockholders’ proportionate interest in the Company. Such dilution could be material. In addition, because the anticipated Electronics Infrastructure Business may require substantial additional capital beyond the Facility, we may in the future issue additional equity securities or equity-linked securities, which could result in further dilution, potentially at prices below the then-current market price of our Class A common stock.</w:t>
      </w:r>
    </w:p>
    <w:p>
      <w:pPr>
        <w:sectPr>
          <w:pgSz w:w="11900" w:h="16838" w:orient="portrait"/>
          <w:cols w:equalWidth="0" w:num="1">
            <w:col w:w="11000"/>
          </w:cols>
          <w:pgMar w:left="440" w:top="266" w:right="459" w:bottom="1440" w:gutter="0" w:footer="0" w:header="0"/>
        </w:sectPr>
      </w:pPr>
    </w:p>
    <w:bookmarkStart w:id="218" w:name="page219"/>
    <w:bookmarkEnd w:id="21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maintain the listing of our Class A common stock on Nasdaq following the Asset Sale is highly uncertain, and if we are unable to satisfy Nasdaq’s continued listing requirements, our Class A common stock could be delisted.</w:t>
      </w:r>
    </w:p>
    <w:p>
      <w:pPr>
        <w:spacing w:after="0" w:line="5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the Asset Sale,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Asset Sale, investors may view us as an operating company with limited assets or operations pending implementation of our new business plan, which could adversely affect trading in our Class A common stock and our ability to satisfy applicable listing standards. This risk may be heightened because, after the Asset Sale, we will be viewed as a company seeking to build a speculative new business in a new industry with limited operating history, extremely limited capital and uncertain prospects. If Nasdaq determines that we no longer meet one or more of its continued listing requirements, our Class A common stock could be delisted. A delisting would likely adversely affect the liquidity and market price of our Class A common stock, reduce our access to the capital markets, impair our ability to raise additional financing, decrease analyst coverage and investor interest, and make it more difficult for stockholders to sell their Class A common stock. Any such consequences could materially and adversely affect the value of an investment in our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pursuant to this proposal could adversely affect the market price of our Class A common stock.</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issuance of a large number of additional shares of common stock, or the perception that such issuances may occur, could depress the market price of our Class A common stock or increase volatility in the trading price of our common stock. The market impact could be exacerbated by uncertainty regarding the number of shares ultimately issuable, including as a result of anti-dilution adjustments, variable conversion features, or fluctuations in the market price of our Class A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increase in the market price of our Class A common stock price associated with the Nasdaq proposal, or any of the other matters described in the Proxy Statement may not be sustained.</w:t>
      </w:r>
    </w:p>
    <w:p>
      <w:pPr>
        <w:spacing w:after="0" w:line="51"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Our stock price may increase in response to the announcement of the Asset Sale, the anticipated Electronics Infrastructure Business, and the Facility for reasons that may include speculation, momentum trading, media attention or investor enthusiasm regarding artificial intelligence and related infrastructure themes, rather than financial, operating or market fundamentals. Any such increase may not be sustained and could reverse sharply.</w:t>
      </w:r>
    </w:p>
    <w:p>
      <w:pPr>
        <w:spacing w:after="0" w:line="2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total number of shares of common stock that may ultimately be issued if this proposal is approved and stockholders may not be able to assess the full extent of dilution or market overhang.</w:t>
      </w:r>
    </w:p>
    <w:p>
      <w:pPr>
        <w:spacing w:after="0" w:line="5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Because the number of shares issuable upon conversion will depend on future events, including market prices, conversion decisions by securityholders, and the operation of adjustment provisions in the Purchase Agreement and Convertible Notes, we are unable to predict with certainty the total number of shares that may ultimately be issued if this proposal is approved. As a result, stockholders may not be able to determine at this time the full extent of the dilution that could occur. The uncertainty regarding the number of shares that may be issued, including shares that may be issuable at discounted or variable prices, may itself create market overhang and adversely affect the market price of our Class A common stock.</w:t>
      </w:r>
    </w:p>
    <w:p>
      <w:pPr>
        <w:sectPr>
          <w:pgSz w:w="11900" w:h="16838" w:orient="portrait"/>
          <w:cols w:equalWidth="0" w:num="1">
            <w:col w:w="11000"/>
          </w:cols>
          <w:pgMar w:left="440" w:top="266" w:right="459" w:bottom="1440" w:gutter="0" w:footer="0" w:header="0"/>
        </w:sectPr>
      </w:pPr>
    </w:p>
    <w:bookmarkStart w:id="219" w:name="page220"/>
    <w:bookmarkEnd w:id="219"/>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this proposal is not approved, our financing and liquidity could be adversely affected and we may be unable to implement our anticipated continuing business strategy.</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stockholders do not approve the Nasdaq Proposal, the contractual limits on conversions or issuances in excess of 19.99% of our outstanding common stock will remain in effect. As a result, we may be required to satisfy our obligations in cash rather than shares, we would have reduced ability to access additional capital under the facility, we would have reduced flexibility in managing our capital structure, and we may be unable to raise additional capital or negotiate future financing transactions on acceptable terms, if at all. If we are unable to access sufficient capital, we may be unable to purchase Electronics Assets, develop the anticipated Electronics Infrastructure Business, satisfy our obligations under the Facility, remain listed on Nasdaq or continue operating as a going concern. Any of these outcomes could adversely affect our liquidity, financial condition, and ability to continue as a going concern.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this proposal may increase the influence of the Investor and may create governance, control or conflict concerns.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To the extent shares of common stock are issued upon the conversion of Convertible Notes following stockholder approval, the Investor may acquire a larger ownership position in the Company; provided however, that the Investor has limited its ownership to 4.99% of our outstanding stock, which may only be increased to 9.99% of our outstanding stock. This could increase the Investor’s voting influence over matters submitted to stockholders and could affect the outcome of future corporate actions. In addition, the Investor’s rights under the financing documents, including rights relating to future financings and the right to appoint a new Chief Operating Officer, may create governance concerns, perceived or actual conflicts of interest, management integration issues or strategic constraints.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Dissolution Proposal</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may abandon the Dissolution Proposal described in our Proxy Statement (the “Dissolution Proposal”) or modify or delay implementation of the plan of dissolution even if it is approved by our stockholders, and uncertainty regarding whether the dissolution will occur may increase volatility and impair planning.</w:t>
      </w:r>
    </w:p>
    <w:p>
      <w:pPr>
        <w:spacing w:after="0" w:line="6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Even if the Dissolution Proposal is approved by our stockholders, the Board has reserved the right to abandon the dissolution or modify or delay implementation of the plan of dissolution. If the Board elects to pursue any alternative to the dissolution, the value of our Class A common stock may decline. This uncertainty may complicate our efforts to communicate with investors, retain personnel, execute our continuing business strategy, negotiate with counterparties and plan our operations.</w:t>
      </w:r>
    </w:p>
    <w:p>
      <w:pPr>
        <w:sectPr>
          <w:pgSz w:w="11900" w:h="16838" w:orient="portrait"/>
          <w:cols w:equalWidth="0" w:num="1">
            <w:col w:w="10940"/>
          </w:cols>
          <w:pgMar w:left="440" w:top="266" w:right="519" w:bottom="1440" w:gutter="0" w:footer="0" w:header="0"/>
        </w:sectPr>
      </w:pPr>
    </w:p>
    <w:bookmarkStart w:id="220" w:name="page221"/>
    <w:bookmarkEnd w:id="22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our anticipated continuing business is unsuccessful, the Dissolution Proposal may become the principal remaining alternative for the future of the Company, and our stockholders will very likely receive little or no value.</w:t>
      </w:r>
    </w:p>
    <w:p>
      <w:pPr>
        <w:spacing w:after="0" w:line="5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Although we currently intend to try to continue operating the Company following the Asset Sale, our continuing business strategy is highly uncertain, speculative, unproven, subject to significant risks and may not succeed. If we are unable to implement the anticipated Electronics Infrastructure Business successfully, raise sufficient capital, satisfy our obligations or maintain viable operations, the Board may determine that dissolution is in the best interests of our stockholders. In that circumstance, stockholders could receive little or no value in excess of any prior special dividend, and a liquidating distribution, if any, in a dissolution would depend on many factors, including liabilities, reserves, taxes, professional fees, litigation costs, indemnification obligations, the value of any remaining assets and the expenses associated with winding up the Company. Accordingly, stockholders should not assume that any of the contemplated transactions will result in sustained value creation or meaningful recoveries beyond amounts, if any, actually distributed.</w:t>
      </w:r>
    </w:p>
    <w:p>
      <w:pPr>
        <w:spacing w:after="0" w:line="2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create an adequate contingency reserve for payment of our expenses and liabilities, each of our stockholders who receive liquidating distributions could be held liable for payment to our creditors of his or her pro rata share of amounts owed to creditors in excess of the contingency reserve, up to the amount actually distributed to such stockholder in any dissolution.</w:t>
      </w:r>
    </w:p>
    <w:p>
      <w:pPr>
        <w:spacing w:after="0" w:line="6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If the dissolution is approved by our stockholders, and the Board determines to proceed with the dissolution, we will file a Certificate of Dissolution with the Delaware Secretary of State to dissolve the Company. Pursuant to the Delaware General Corporation Law (the “DGCL”), the Company will continue to exist for a minimum of three years after its dissolution becomes effective for the purpose of prosecuting and defending suits against the Company and enabling the Company and our subsidiaries to close their business, to dispose of their property, to discharge their liabilities and to distribute to stockholders any remaining assets. If a court holds at any time that we have failed to make adequate provision for our expenses and liabilities in the dissolution or if the amount ultimately required to be paid in respect of such liabilities exceeds the amount available from our contingency reserve, our creditors could seek an injunction against the making of distributions on the grounds that the amounts to be distributed are needed to provide for the payment of our expenses and liabilities. Any such action could delay or substantially diminish the amount of any cash distributions to stockholders. If we fail to create an adequate contingency reserve for payment of our expenses and liabilities, creditors could assert claims against each stockholder receiving a distribution for the payment of any shortfall, up to the amounts previously received by the stockholder in distributions from us. In such event, a stockholder could be required to return all distributions previously made to such stockholder pursuant to the dissolution and could receive nothing from us in connection with dissolution. Moreover, in the event that a stockholder has paid taxes on amounts previously received by the stockholder, a repayment of all or a portion of such amount could result in a stockholder incurring a net tax cost if the stockholder’s repayment of an amount previously distributed does not cause a commensurate reduction in taxes payable. The Board is not required to obtain a solvency opinion as a condition to authorizing a liquidating distribution and we cannot assure you that the contingency reserve established by us will be adequate to cover all expenses and liabilities.</w:t>
      </w:r>
    </w:p>
    <w:p>
      <w:pPr>
        <w:spacing w:after="0" w:line="2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any liquidating distributions may vary from stockholder to stockholder, and the discussions in the Proxy Statement regarding such tax treatment are general in nature. You should consult your own tax advisor instead of relying on the discussions of tax treatment in the Proxy Statement for tax advice.</w:t>
      </w:r>
    </w:p>
    <w:p>
      <w:pPr>
        <w:spacing w:after="0" w:line="6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requested a ruling from the Internal Revenue Service (“IRS”) with respect to the anticipated tax consequences of the dissolution, and we will not seek an opinion of counsel with respect to the anticipated tax consequences of any liquidating distributions. If the description of any of the anticipated tax consequences in the Proxy Statement proves to be incorrect, increased taxation could result, thus reducing the benefit to our stockholders from the liquidation and related distributions. Tax considerations applicable to particular stockholders may vary with and be contingent upon the stockholder’s individual circumstances.</w:t>
      </w:r>
    </w:p>
    <w:p>
      <w:pPr>
        <w:sectPr>
          <w:pgSz w:w="11900" w:h="16838" w:orient="portrait"/>
          <w:cols w:equalWidth="0" w:num="1">
            <w:col w:w="11000"/>
          </w:cols>
          <w:pgMar w:left="440" w:top="266" w:right="459" w:bottom="1440" w:gutter="0" w:footer="0" w:header="0"/>
        </w:sectPr>
      </w:pPr>
    </w:p>
    <w:bookmarkStart w:id="221" w:name="page222"/>
    <w:bookmarkEnd w:id="221"/>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may not be able to recognize a loss for federal income tax purposes in connection with the dissolution until they receive a final distribution from us, which may be many years after our dissolution.</w:t>
      </w:r>
    </w:p>
    <w:p>
      <w:pPr>
        <w:spacing w:after="0" w:line="51"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For U.S. federal income tax purposes, distributions made pursuant to the dissolution are intended to be treated as received by a stockholder in exchange for the stockholder’s shares of our common stock in complete liquidation of the Company. As a result, a stockholder holding Company common stock as a capital asset (generally, for investment) will generally recognize capital gain or capital loss equal to the difference between (a) the sum of the amount of money and the aggregate fair market value of any property (other than money), less any known liabilities assumed by the stockholder to which the distributed property (if any) is subject, distributed to such stockholder, and (b) such stockholder’s tax basis in their shares of common stock. Any loss will be recognized only when the final distribution from us has been received, which may be more than three years after our dissolution. The deductibility of capital losses is subject to limitations. See “Material United States Federal Income Tax Consequences to Allbirds Stockholders.” You should consult your tax advisor as to the particular tax consequences of the dissolution to you, including the applicability of any U.S. federal, state, and local and non-U.S. tax 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use a liquidating trust, as permitted by the plan of dissolution, interests of our Stockholders in such a trust would not be transferable.</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interests of our stockholders in a liquidating trust set up by us under the plan of dissolution would not be transferable, which could adversely affect your ability to realize the value of such interests. In addition, as stockholders will be deemed to have received a liquidating distribution equal to their pro rata shares of the value of the net assets distributed to an entity treated as a liquidating trust for U.S. federal income tax purposes, such deemed distribution could result in tax liability to the interest holders without such holders being readily able to realize the value of such interest to pay such taxes. See “Material United States Federal Income Tax Consequences to Allbirds Stockholders.”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may at any time turn management of our liquidation over to a third party, and some or all of our directors may resign from the Board at that time.</w:t>
      </w:r>
    </w:p>
    <w:p>
      <w:pPr>
        <w:spacing w:after="0" w:line="5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may at any time turn our management over to a third party to complete the liquidation of our remaining assets and distribute the available proceeds to our stockholders, and some or all of our directors may resign from the Board at or before that time. If management is turned over to a third party and all of our directors resign from our Board, the third party would have sole control over the liquidation process, including the sale or distribution of any remaining assets.</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Board determines to proceed with dissolution, we will have our Class A common stock delisted from Nasdaq, after which it would not be possible for stockholders to publicly trade our Class A common stock.</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the dissolution is approved by our stockholders, and the Board determines to proceed with the dissolution, we will notify Nasdaq of our intent to withdraw our Class A common stock from listing on Nasdaq and thereafter file an application on Form 25 to notify the SEC of the withdrawal of our Class A common stock from listing on Nasdaq. The delisting of our Class A common stock will be effective 10 days after we file such an application on Form 25, after which it will not be possible for stockholders to publicly trade our Class A common stock on Nasdaq, and any trading in our Class A common stock may be very limited.</w:t>
      </w:r>
    </w:p>
    <w:p>
      <w:pPr>
        <w:sectPr>
          <w:pgSz w:w="11900" w:h="16838" w:orient="portrait"/>
          <w:cols w:equalWidth="0" w:num="1">
            <w:col w:w="11000"/>
          </w:cols>
          <w:pgMar w:left="440" w:top="266" w:right="459" w:bottom="1440" w:gutter="0" w:footer="0" w:header="0"/>
        </w:sectPr>
      </w:pPr>
    </w:p>
    <w:bookmarkStart w:id="222" w:name="page223"/>
    <w:bookmarkEnd w:id="22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date we file the Certificate of Dissolution with the Delaware Secretary of State, we would to close our stock transfer books and discontinue recording transfers of common stock, including our Class A common stock and Class B common stock. Thereafter, certificates or book entries representing our common stock would not be assignable or transferable on our books except by will, intestate succession or operation of law. The proportionate interests of all of our stockholders would be fixed on the basis of their respective stock holdings at the close of business on the final record date, and, after the final record date, any distributions made by us would be made solely to the stockholders of record at the close of business on the final record date, except as may be necessary to reflect subsequent transfers recorded on our books as a result of any assignments by will, intestate succession or operation of law.</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the expenses of complying with public company reporting requirements until our Class A common stock is deregistered and periodic public reporting obligations are suspended.</w:t>
      </w:r>
    </w:p>
    <w:p>
      <w:pPr>
        <w:spacing w:after="0" w:line="51"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If the dissolution is approved by our stockholders, and the Board determines to proceed with the dissolution, through any subsequent liquidation and dissolution, we have an obligation to continue to comply with the applicable reporting requirements of the Exchange Act, even though compliance with these reporting requirements would be economically burdensome, until we deregister our shares and suspend our periodic reporting obligations under the Exchange Act. If the dissolution is approved by our stockholders, and the Board determines to proceed with the dissolution, we would file a Form 25 with the SEC to delist and deregister our Class A common stock and a Form 15 with the SEC to suspend our public reporting obligations, but until we do so we will remain a reporting issuer and will incur attendant costs relating to filing such reports with the SEC. The expenses incurred by us in complying with the applicable reporting requirements will reduce the assets available for distribution to our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retain services of appropriate personnel to implement the dissolution.</w:t>
      </w:r>
    </w:p>
    <w:p>
      <w:pPr>
        <w:spacing w:after="0" w:line="121"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If the dissolution is approved by our stockholders, and the Board determines to proceed with the dissolution, the success of the dissolution will depend in large part upon our ability to retain the services of qualified personnel who would be charged with operating the Company through any subsequent liquidation and dissolution. The retention of qualified personnel may be particularly difficult under such circumstances. There can be no assurance that we would be successful in retaining the services of such qualified personnel or that we would be able to retain the services of such qualified personnel for the amounts the Company may be willing to pay for such services.</w:t>
      </w:r>
    </w:p>
    <w:p>
      <w:pPr>
        <w:spacing w:after="0" w:line="287"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Board determines to proceed with the dissolution, we will file a Form 15 with the SEC thereby suspending our obligation to file current and periodic reports with the SEC, which would limit public information regarding our business and the status of our dissolution and wind-up activities.</w:t>
      </w:r>
    </w:p>
    <w:p>
      <w:pPr>
        <w:spacing w:after="0" w:line="2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 dissolution is approved by our stockholders, and the Board determines to proceed with the dissolution, we will file a Form 15 with the SEC to suspend our reporting obligation under Section 15(d) of the Exchange Act to file current and periodic reports with the SEC. As a result, investors would have limited public information regarding the status of our business and wind-up activities.</w:t>
      </w:r>
    </w:p>
    <w:p>
      <w:pPr>
        <w:sectPr>
          <w:pgSz w:w="11900" w:h="16838" w:orient="portrait"/>
          <w:cols w:equalWidth="0" w:num="1">
            <w:col w:w="11000"/>
          </w:cols>
          <w:pgMar w:left="440" w:top="270"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Relating to Ownership of Our Class A Common Stock</w:t>
      </w:r>
    </w:p>
    <w:p>
      <w:pPr>
        <w:spacing w:after="0" w:line="117"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Assuming that the Asset Sale Proposal is approved and consummated, because our historical operating business would be sold and our anticipated business is highly uncertain, speculative, unproven and subject to significant risks, investors may have difficulty valuing our Class A common stock.</w:t>
      </w:r>
    </w:p>
    <w:p>
      <w:pPr>
        <w:spacing w:after="0" w:line="28"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Following the Asset Sale, our Class A common stock may trade based on limited information, evolving assumptions, market sentiment and speculation regarding our anticipated Electronics Infrastructure Business, rather than established operating results. This may result in significant mispricing, elevated volatility and sudden declines in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and online forums may contribute to increased volatility in our Class A common stock price and create risks of market manipulation.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recent years, securities of certain companies have experienced extreme price volatility driven in part by activity on social media platforms and online forums, sometimes referred to as “meme stock” dynamics. This volatility is often unrelated to the underlying performance or fundamentals of the companies involved and can be driven by retail investor sentiment, coordinated trading activity, or viral attention. Following the disclosure of the matters set forth herein, our Class A common stock has been, and may continue to be, subject to similar dynamics, which could result in rapid and significant price increases or decreases that may be disconnected from our business plans, operating results and financial performance. Such volatility could expose us to securities class action litigation or regulatory scrutiny. Additionally, false or misleading information about us could be spread on social media or online forums, which could adversely affect our reputation and the market price of our Common Stock, regardless of the accuracy of such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of our Class A common stock could increase the volatility of our Class A common stock price and adversely affect its market price.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Short selling occurs when an investor borrows shares and immediately sells them, hoping that the share price will decline and the investor can repurchase the shares at a lower price for return to the lender. Short selling has been prevalent in securities of companies with significant volatility or “meme stock” dynamics. The significant short selling of our Class A common stock, or the perception that such short selling may occur, may create downward pressure on the price of our Class A common stock and may amplify the effect of any negative developments. Additionally, so-called “short and distort” campaigns could target our Company, where short sellers spread negative information about a company to drive down its stock price and profit from their short positions. Any such campaign could damage our reputation and adversely affect the market price of our Class A common stock, regardless of the accuracy of the information disseminated. Conversely, if our Class A common stock price increases rapidly, short sellers may be forced to cover their positions quickly, leading to a “short squeeze” that could result in extreme price volatility.</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Active trading of options on our Class A common stock could increase volatility in our Class A common stock price and adversely affect the market for our securities.</w:t>
      </w:r>
    </w:p>
    <w:p>
      <w:pPr>
        <w:spacing w:after="0" w:line="5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Options on our Class A common stock are traded on securities exchanges and over-the-counter markets. Activity in these markets, including hedging, arbitrage, and speculative strategies, can lead to significant buying or selling pressure and contribute to price volatility. Option expirations, changes in implied volatility, and variations in options market liquidity can exacerbate volatility in our Class A common stock price. Increased volatility related to options trading could negatively affect investor confidence, impair liquidity, and adversely affect our Class A common stock price regardless of operating performance.</w:t>
      </w:r>
    </w:p>
    <w:p>
      <w:pPr>
        <w:sectPr>
          <w:pgSz w:w="11900" w:h="16838" w:orient="portrait"/>
          <w:cols w:equalWidth="0" w:num="1">
            <w:col w:w="10980"/>
          </w:cols>
          <w:pgMar w:left="440" w:top="266" w:right="479" w:bottom="1440" w:gutter="0" w:footer="0" w:header="0"/>
        </w:sectPr>
      </w:pPr>
    </w:p>
    <w:bookmarkStart w:id="224" w:name="page225"/>
    <w:bookmarkEnd w:id="224"/>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Sales of substantial amounts of our Class A common stock by our directors, officers, or significant stockholders, or the perception that such sales may occur, could adversely affect the market price of our Class A common stock.</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in the public market, or the perception that such sales may occur, could adversely affect the market price of our Class A common stock. In addition, the existence, or even the potential of, a significant sale by any of our large stockholders could cause the market price of our Class A common stock to decline. Moreover, our directors and officers may establish pre-arranged trading plans under Rule 10b5-1 of the Exchange Act, and sales under these plans could be perceived negatively by the market, whether or not there is any actual adverse information about us. We cannot predict the effect, if any, that sales of shares by our insiders or the availability of shares for future sale will have on the market price of our Class A common stock.</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1)"/>
      <w:numFmt w:val="lowerRoman"/>
      <w:start w:val="1"/>
    </w:lvl>
  </w:abstractNum>
  <w:abstractNum w:abstractNumId="2">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E3E47A8"/>
    <w:multiLevelType w:val="hybridMultilevel"/>
    <w:lvl w:ilvl="0">
      <w:lvlJc w:val="left"/>
      <w:lvlText w:val="(%1)"/>
      <w:numFmt w:val="lowerLetter"/>
      <w:start w:val="35"/>
    </w:lvl>
    <w:lvl w:ilvl="1">
      <w:lvlJc w:val="left"/>
      <w:lvlText w:val="(%2)"/>
      <w:numFmt w:val="lowerLetter"/>
      <w:start w:val="24"/>
    </w:lvl>
    <w:lvl w:ilvl="2">
      <w:lvlJc w:val="left"/>
      <w:lvlText w:val="(%3)"/>
      <w:numFmt w:val="upperLetter"/>
      <w:start w:val="1"/>
    </w:lvl>
  </w:abstractNum>
  <w:abstractNum w:abstractNumId="4">
    <w:nsid w:val="2E48F044"/>
    <w:multiLevelType w:val="hybridMultilevel"/>
    <w:lvl w:ilvl="0">
      <w:lvlJc w:val="left"/>
      <w:lvlText w:val="%1"/>
      <w:numFmt w:val="lowerLetter"/>
      <w:start w:val="1"/>
    </w:lvl>
    <w:lvl w:ilvl="1">
      <w:lvlJc w:val="left"/>
      <w:lvlText w:val="(%2)"/>
      <w:numFmt w:val="decimal"/>
      <w:start w:val="1"/>
    </w:lvl>
  </w:abstractNum>
  <w:abstractNum w:abstractNumId="5">
    <w:nsid w:val="49D0FEAC"/>
    <w:multiLevelType w:val="hybridMultilevel"/>
    <w:lvl w:ilvl="0">
      <w:lvlJc w:val="left"/>
      <w:lvlText w:val="%1"/>
      <w:numFmt w:val="lowerLetter"/>
      <w:start w:val="1"/>
    </w:lvl>
    <w:lvl w:ilvl="1">
      <w:lvlJc w:val="left"/>
      <w:lvlText w:val="(%2)"/>
      <w:numFmt w:val="decimal"/>
      <w:start w:val="1"/>
    </w:lvl>
  </w:abstractNum>
  <w:abstractNum w:abstractNumId="6">
    <w:nsid w:val="4BEE5A5B"/>
    <w:multiLevelType w:val="hybridMultilevel"/>
    <w:lvl w:ilvl="0">
      <w:lvlJc w:val="left"/>
      <w:lvlText w:val="(%1)"/>
      <w:numFmt w:val="lowerLetter"/>
      <w:start w:val="3"/>
    </w:lvl>
    <w:lvl w:ilvl="1">
      <w:lvlJc w:val="left"/>
      <w:lvlText w:val="%2"/>
      <w:numFmt w:val="decimal"/>
      <w:start w:val="1"/>
    </w:lvl>
  </w:abstractNum>
  <w:abstractNum w:abstractNumId="7">
    <w:nsid w:val="5551B9F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
    <w:nsid w:val="24F6AB8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
    <w:nsid w:val="634C574C"/>
    <w:multiLevelType w:val="hybridMultilevel"/>
    <w:lvl w:ilvl="0">
      <w:lvlJc w:val="left"/>
      <w:lvlText w:val="(%1)"/>
      <w:numFmt w:val="lowerLetter"/>
      <w:start w:val="1"/>
    </w:lvl>
  </w:abstractNum>
  <w:abstractNum w:abstractNumId="10">
    <w:nsid w:val="24E99DD7"/>
    <w:multiLevelType w:val="hybridMultilevel"/>
    <w:lvl w:ilvl="0">
      <w:lvlJc w:val="left"/>
      <w:lvlText w:val="(%1)"/>
      <w:numFmt w:val="lowerLetter"/>
      <w:start w:val="3"/>
    </w:lvl>
  </w:abstractNum>
  <w:abstractNum w:abstractNumId="11">
    <w:nsid w:val="2A31B62D"/>
    <w:multiLevelType w:val="hybridMultilevel"/>
    <w:lvl w:ilvl="0">
      <w:lvlJc w:val="left"/>
      <w:lvlText w:val="(%1)"/>
      <w:numFmt w:val="lowerLetter"/>
      <w:start w:val="8"/>
    </w:lvl>
  </w:abstractNum>
  <w:abstractNum w:abstractNumId="12">
    <w:nsid w:val="1849C29B"/>
    <w:multiLevelType w:val="hybridMultilevel"/>
    <w:lvl w:ilvl="0">
      <w:lvlJc w:val="left"/>
      <w:lvlText w:val="%1"/>
      <w:numFmt w:val="lowerLetter"/>
      <w:start w:val="1"/>
    </w:lvl>
    <w:lvl w:ilvl="1">
      <w:lvlJc w:val="left"/>
      <w:lvlText w:val="(%2)"/>
      <w:numFmt w:val="lowerLetter"/>
      <w:start w:val="1"/>
    </w:lvl>
  </w:abstractNum>
  <w:abstractNum w:abstractNumId="13">
    <w:nsid w:val="7DFF9D09"/>
    <w:multiLevelType w:val="hybridMultilevel"/>
    <w:lvl w:ilvl="0">
      <w:lvlJc w:val="left"/>
      <w:lvlText w:val="(%1)"/>
      <w:numFmt w:val="lowerLetter"/>
      <w:start w:val="61"/>
    </w:lvl>
    <w:lvl w:ilvl="1">
      <w:lvlJc w:val="left"/>
      <w:lvlText w:val="(%2)"/>
      <w:numFmt w:val="lowerLetter"/>
      <w:start w:val="2"/>
    </w:lvl>
  </w:abstractNum>
  <w:abstractNum w:abstractNumId="14">
    <w:nsid w:val="754342"/>
    <w:multiLevelType w:val="hybridMultilevel"/>
    <w:lvl w:ilvl="0">
      <w:lvlJc w:val="left"/>
      <w:lvlText w:val="%1"/>
      <w:numFmt w:val="lowerLetter"/>
      <w:start w:val="1"/>
    </w:lvl>
    <w:lvl w:ilvl="1">
      <w:lvlJc w:val="left"/>
      <w:lvlText w:val="(%2)"/>
      <w:numFmt w:val="lowerLetter"/>
      <w:start w:val="3"/>
    </w:lvl>
  </w:abstractNum>
  <w:abstractNum w:abstractNumId="15">
    <w:nsid w:val="69E7F3E5"/>
    <w:multiLevelType w:val="hybridMultilevel"/>
    <w:lvl w:ilvl="0">
      <w:lvlJc w:val="left"/>
      <w:lvlText w:val="(%1)"/>
      <w:numFmt w:val="lowerLetter"/>
      <w:start w:val="9"/>
    </w:lvl>
    <w:lvl w:ilvl="1">
      <w:lvlJc w:val="left"/>
      <w:lvlText w:val="%2"/>
      <w:numFmt w:val="lowerLetter"/>
      <w:start w:val="1"/>
    </w:lvl>
  </w:abstractNum>
  <w:abstractNum w:abstractNumId="16">
    <w:nsid w:val="2A6DE806"/>
    <w:multiLevelType w:val="hybridMultilevel"/>
    <w:lvl w:ilvl="0">
      <w:lvlJc w:val="left"/>
      <w:lvlText w:val="(%1)"/>
      <w:numFmt w:val="lowerLetter"/>
      <w:start w:val="5"/>
    </w:lvl>
  </w:abstractNum>
  <w:abstractNum w:abstractNumId="17">
    <w:nsid w:val="1816F8C4"/>
    <w:multiLevelType w:val="hybridMultilevel"/>
    <w:lvl w:ilvl="0">
      <w:lvlJc w:val="left"/>
      <w:lvlText w:val="(%1)"/>
      <w:numFmt w:val="lowerLetter"/>
      <w:start w:val="8"/>
    </w:lvl>
  </w:abstractNum>
  <w:abstractNum w:abstractNumId="18">
    <w:nsid w:val="37DF2233"/>
    <w:multiLevelType w:val="hybridMultilevel"/>
    <w:lvl w:ilvl="0">
      <w:lvlJc w:val="left"/>
      <w:lvlText w:val="%1"/>
      <w:numFmt w:val="lowerLetter"/>
      <w:start w:val="1"/>
    </w:lvl>
    <w:lvl w:ilvl="1">
      <w:lvlJc w:val="left"/>
      <w:lvlText w:val="(%2)"/>
      <w:numFmt w:val="lowerLetter"/>
      <w:start w:val="12"/>
    </w:lvl>
  </w:abstractNum>
  <w:abstractNum w:abstractNumId="19">
    <w:nsid w:val="7AB49DAF"/>
    <w:multiLevelType w:val="hybridMultilevel"/>
    <w:lvl w:ilvl="0">
      <w:lvlJc w:val="left"/>
      <w:lvlText w:val="(%1)"/>
      <w:numFmt w:val="lowerLetter"/>
      <w:start w:val="9"/>
    </w:lvl>
    <w:lvl w:ilvl="1">
      <w:lvlJc w:val="left"/>
      <w:lvlText w:val="%2"/>
      <w:numFmt w:val="lowerLetter"/>
      <w:start w:val="1"/>
    </w:lvl>
  </w:abstractNum>
  <w:abstractNum w:abstractNumId="20">
    <w:nsid w:val="759F82CD"/>
    <w:multiLevelType w:val="hybridMultilevel"/>
    <w:lvl w:ilvl="0">
      <w:lvlJc w:val="left"/>
      <w:lvlText w:val="(%1)"/>
      <w:numFmt w:val="lowerLetter"/>
      <w:start w:val="13"/>
    </w:lvl>
  </w:abstractNum>
  <w:abstractNum w:abstractNumId="21">
    <w:nsid w:val="61E74EA3"/>
    <w:multiLevelType w:val="hybridMultilevel"/>
    <w:lvl w:ilvl="0">
      <w:lvlJc w:val="left"/>
      <w:lvlText w:val="(%1)"/>
      <w:numFmt w:val="lowerLetter"/>
      <w:start w:val="61"/>
    </w:lvl>
    <w:lvl w:ilvl="1">
      <w:lvlJc w:val="left"/>
      <w:lvlText w:val="(%2)"/>
      <w:numFmt w:val="lowerLetter"/>
      <w:start w:val="15"/>
    </w:lvl>
    <w:lvl w:ilvl="2">
      <w:lvlJc w:val="left"/>
      <w:lvlText w:val="(%3)"/>
      <w:numFmt w:val="lowerRoman"/>
      <w:start w:val="1"/>
    </w:lvl>
  </w:abstractNum>
  <w:abstractNum w:abstractNumId="22">
    <w:nsid w:val="597B4D84"/>
    <w:multiLevelType w:val="hybridMultilevel"/>
    <w:lvl w:ilvl="0">
      <w:lvlJc w:val="left"/>
      <w:lvlText w:val="%1"/>
      <w:numFmt w:val="lowerLetter"/>
      <w:start w:val="1"/>
    </w:lvl>
    <w:lvl w:ilvl="1">
      <w:lvlJc w:val="left"/>
      <w:lvlText w:val="(%2)"/>
      <w:numFmt w:val="lowerLetter"/>
      <w:start w:val="16"/>
    </w:lvl>
    <w:lvl w:ilvl="2">
      <w:lvlJc w:val="left"/>
      <w:lvlText w:val="%3"/>
      <w:numFmt w:val="lowerRoman"/>
      <w:start w:val="1"/>
    </w:lvl>
    <w:lvl w:ilvl="3">
      <w:lvlJc w:val="left"/>
      <w:lvlText w:val="%4"/>
      <w:numFmt w:val="upperLetter"/>
      <w:start w:val="1"/>
    </w:lvl>
  </w:abstractNum>
  <w:abstractNum w:abstractNumId="23">
    <w:nsid w:val="F819E7F"/>
    <w:multiLevelType w:val="hybridMultilevel"/>
    <w:lvl w:ilvl="0">
      <w:lvlJc w:val="left"/>
      <w:lvlText w:val="(%1)"/>
      <w:numFmt w:val="lowerLetter"/>
      <w:start w:val="35"/>
    </w:lvl>
    <w:lvl w:ilvl="1">
      <w:lvlJc w:val="left"/>
      <w:lvlText w:val="(%2)"/>
      <w:numFmt w:val="lowerLetter"/>
      <w:start w:val="18"/>
    </w:lvl>
    <w:lvl w:ilvl="2">
      <w:lvlJc w:val="left"/>
      <w:lvlText w:val="(%3)"/>
      <w:numFmt w:val="lowerRoman"/>
      <w:start w:val="1"/>
    </w:lvl>
    <w:lvl w:ilvl="3">
      <w:lvlJc w:val="left"/>
      <w:lvlText w:val="(%4)"/>
      <w:numFmt w:val="upperLetter"/>
      <w:start w:val="1"/>
    </w:lvl>
  </w:abstractNum>
  <w:abstractNum w:abstractNumId="24">
    <w:nsid w:val="57C7D42D"/>
    <w:multiLevelType w:val="hybridMultilevel"/>
    <w:lvl w:ilvl="0">
      <w:lvlJc w:val="left"/>
      <w:lvlText w:val="%1"/>
      <w:numFmt w:val="upperLetter"/>
      <w:start w:val="1"/>
    </w:lvl>
    <w:lvl w:ilvl="1">
      <w:lvlJc w:val="left"/>
      <w:lvlText w:val="(%2)"/>
      <w:numFmt w:val="lowerRoman"/>
      <w:start w:val="2"/>
    </w:lvl>
  </w:abstractNum>
  <w:abstractNum w:abstractNumId="25">
    <w:nsid w:val="312167AD"/>
    <w:multiLevelType w:val="hybridMultilevel"/>
    <w:lvl w:ilvl="0">
      <w:lvlJc w:val="left"/>
      <w:lvlText w:val="(%1)"/>
      <w:numFmt w:val="upperLetter"/>
      <w:start w:val="1"/>
    </w:lvl>
    <w:lvl w:ilvl="1">
      <w:lvlJc w:val="left"/>
      <w:lvlText w:val="(%2)"/>
      <w:numFmt w:val="lowerRoman"/>
      <w:start w:val="4"/>
    </w:lvl>
  </w:abstractNum>
  <w:abstractNum w:abstractNumId="26">
    <w:nsid w:val="631B64D4"/>
    <w:multiLevelType w:val="hybridMultilevel"/>
    <w:lvl w:ilvl="0">
      <w:lvlJc w:val="left"/>
      <w:lvlText w:val="%1"/>
      <w:numFmt w:val="lowerLetter"/>
      <w:start w:val="1"/>
    </w:lvl>
    <w:lvl w:ilvl="1">
      <w:lvlJc w:val="left"/>
      <w:lvlText w:val="(%2)"/>
      <w:numFmt w:val="lowerLetter"/>
      <w:start w:val="22"/>
    </w:lvl>
  </w:abstractNum>
  <w:abstractNum w:abstractNumId="27">
    <w:nsid w:val="78B5E776"/>
    <w:multiLevelType w:val="hybridMultilevel"/>
    <w:lvl w:ilvl="0">
      <w:lvlJc w:val="left"/>
      <w:lvlText w:val="(%1)"/>
      <w:numFmt w:val="lowerLetter"/>
      <w:start w:val="19"/>
    </w:lvl>
    <w:lvl w:ilvl="1">
      <w:lvlJc w:val="left"/>
      <w:lvlText w:val="%2"/>
      <w:numFmt w:val="lowerLetter"/>
      <w:start w:val="1"/>
    </w:lvl>
  </w:abstractNum>
  <w:abstractNum w:abstractNumId="28">
    <w:nsid w:val="75486E47"/>
    <w:multiLevelType w:val="hybridMultilevel"/>
    <w:lvl w:ilvl="0">
      <w:lvlJc w:val="left"/>
      <w:lvlText w:val="(%1)"/>
      <w:numFmt w:val="upperLetter"/>
      <w:start w:val="1"/>
    </w:lvl>
    <w:lvl w:ilvl="1">
      <w:lvlJc w:val="left"/>
      <w:lvlText w:val="(%2)"/>
      <w:numFmt w:val="lowerLetter"/>
      <w:start w:val="20"/>
    </w:lvl>
  </w:abstractNum>
  <w:abstractNum w:abstractNumId="29">
    <w:nsid w:val="6E534CDE"/>
    <w:multiLevelType w:val="hybridMultilevel"/>
    <w:lvl w:ilvl="0">
      <w:lvlJc w:val="left"/>
      <w:lvlText w:val="(%1)"/>
      <w:numFmt w:val="lowerLetter"/>
      <w:start w:val="22"/>
    </w:lvl>
    <w:lvl w:ilvl="1">
      <w:lvlJc w:val="left"/>
      <w:lvlText w:val="(%2)"/>
      <w:numFmt w:val="lowerRoman"/>
      <w:start w:val="1"/>
    </w:lvl>
  </w:abstractNum>
  <w:abstractNum w:abstractNumId="30">
    <w:nsid w:val="1A0DDE32"/>
    <w:multiLevelType w:val="hybridMultilevel"/>
    <w:lvl w:ilvl="0">
      <w:lvlJc w:val="left"/>
      <w:lvlText w:val="%1"/>
      <w:numFmt w:val="upperLetter"/>
      <w:start w:val="1"/>
    </w:lvl>
    <w:lvl w:ilvl="1">
      <w:lvlJc w:val="left"/>
      <w:lvlText w:val="(%2)"/>
      <w:numFmt w:val="lowerLetter"/>
      <w:start w:val="24"/>
    </w:lvl>
    <w:lvl w:ilvl="2">
      <w:lvlJc w:val="left"/>
      <w:lvlText w:val="%3"/>
      <w:numFmt w:val="lowerRoman"/>
      <w:start w:val="1"/>
    </w:lvl>
    <w:lvl w:ilvl="3">
      <w:lvlJc w:val="left"/>
      <w:lvlText w:val="%4"/>
      <w:numFmt w:val="upperLetter"/>
      <w:start w:val="1"/>
    </w:lvl>
  </w:abstractNum>
  <w:abstractNum w:abstractNumId="31">
    <w:nsid w:val="65968C1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2">
    <w:nsid w:val="46263DE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3">
    <w:nsid w:val="260D8C4A"/>
    <w:multiLevelType w:val="hybridMultilevel"/>
    <w:lvl w:ilvl="0">
      <w:lvlJc w:val="left"/>
      <w:lvlText w:val="%1"/>
      <w:numFmt w:val="lowerLetter"/>
      <w:start w:val="1"/>
    </w:lvl>
    <w:lvl w:ilvl="1">
      <w:lvlJc w:val="left"/>
      <w:lvlText w:val="(%2)"/>
      <w:numFmt w:val="lowerRoman"/>
      <w:start w:val="3"/>
    </w:lvl>
  </w:abstractNum>
  <w:abstractNum w:abstractNumId="34">
    <w:nsid w:val="73D4D3C4"/>
    <w:multiLevelType w:val="hybridMultilevel"/>
    <w:lvl w:ilvl="0">
      <w:lvlJc w:val="left"/>
      <w:lvlText w:val="(%1)"/>
      <w:numFmt w:val="lowerLetter"/>
      <w:start w:val="26"/>
    </w:lvl>
    <w:lvl w:ilvl="1">
      <w:lvlJc w:val="left"/>
      <w:lvlText w:val="%2"/>
      <w:numFmt w:val="lowerRoman"/>
      <w:start w:val="1"/>
    </w:lvl>
  </w:abstractNum>
  <w:abstractNum w:abstractNumId="35">
    <w:nsid w:val="746F2E30"/>
    <w:multiLevelType w:val="hybridMultilevel"/>
    <w:lvl w:ilvl="0">
      <w:lvlJc w:val="left"/>
      <w:lvlText w:val="%1"/>
      <w:numFmt w:val="lowerLetter"/>
      <w:start w:val="1"/>
    </w:lvl>
    <w:lvl w:ilvl="1">
      <w:lvlJc w:val="left"/>
      <w:lvlText w:val="(%2)"/>
      <w:numFmt w:val="lowerLetter"/>
      <w:start w:val="27"/>
    </w:lvl>
  </w:abstractNum>
  <w:abstractNum w:abstractNumId="36">
    <w:nsid w:val="6FDE8AF6"/>
    <w:multiLevelType w:val="hybridMultilevel"/>
    <w:lvl w:ilvl="0">
      <w:lvlJc w:val="left"/>
      <w:lvlText w:val="(%1)"/>
      <w:numFmt w:val="lowerLetter"/>
      <w:start w:val="61"/>
    </w:lvl>
    <w:lvl w:ilvl="1">
      <w:lvlJc w:val="left"/>
      <w:lvlText w:val="%2"/>
      <w:numFmt w:val="lowerLetter"/>
      <w:start w:val="1"/>
    </w:lvl>
  </w:abstractNum>
  <w:abstractNum w:abstractNumId="37">
    <w:nsid w:val="3FC32E20"/>
    <w:multiLevelType w:val="hybridMultilevel"/>
    <w:lvl w:ilvl="0">
      <w:lvlJc w:val="left"/>
      <w:lvlText w:val="(%1)"/>
      <w:numFmt w:val="lowerLetter"/>
      <w:start w:val="29"/>
    </w:lvl>
  </w:abstractNum>
  <w:abstractNum w:abstractNumId="38">
    <w:nsid w:val="49C0E823"/>
    <w:multiLevelType w:val="hybridMultilevel"/>
    <w:lvl w:ilvl="0">
      <w:lvlJc w:val="left"/>
      <w:lvlText w:val="(%1)"/>
      <w:numFmt w:val="lowerLetter"/>
      <w:start w:val="32"/>
    </w:lvl>
    <w:lvl w:ilvl="1">
      <w:lvlJc w:val="left"/>
      <w:lvlText w:val="(%2)"/>
      <w:numFmt w:val="lowerRoman"/>
      <w:start w:val="1"/>
    </w:lvl>
  </w:abstractNum>
  <w:abstractNum w:abstractNumId="39">
    <w:nsid w:val="14D53685"/>
    <w:multiLevelType w:val="hybridMultilevel"/>
    <w:lvl w:ilvl="0">
      <w:lvlJc w:val="left"/>
      <w:lvlText w:val="(%1)"/>
      <w:numFmt w:val="lowerLetter"/>
      <w:start w:val="37"/>
    </w:lvl>
    <w:lvl w:ilvl="1">
      <w:lvlJc w:val="left"/>
      <w:lvlText w:val="(%2)"/>
      <w:numFmt w:val="lowerRoman"/>
      <w:start w:val="1"/>
    </w:lvl>
    <w:lvl w:ilvl="2">
      <w:lvlJc w:val="left"/>
      <w:lvlText w:val="(%3)"/>
      <w:numFmt w:val="upperLetter"/>
      <w:start w:val="1"/>
    </w:lvl>
  </w:abstractNum>
  <w:abstractNum w:abstractNumId="40">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1">
    <w:nsid w:val="6EAA85F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2">
    <w:nsid w:val="3F06ECB2"/>
    <w:multiLevelType w:val="hybridMultilevel"/>
    <w:lvl w:ilvl="0">
      <w:lvlJc w:val="left"/>
      <w:lvlText w:val="(%1)"/>
      <w:numFmt w:val="lowerLetter"/>
      <w:start w:val="41"/>
    </w:lvl>
    <w:lvl w:ilvl="1">
      <w:lvlJc w:val="left"/>
      <w:lvlText w:val="%2"/>
      <w:numFmt w:val="lowerRoman"/>
      <w:start w:val="1"/>
    </w:lvl>
    <w:lvl w:ilvl="2">
      <w:lvlJc w:val="left"/>
      <w:lvlText w:val="%3"/>
      <w:numFmt w:val="upperLetter"/>
      <w:start w:val="1"/>
    </w:lvl>
  </w:abstractNum>
  <w:abstractNum w:abstractNumId="43">
    <w:nsid w:val="3B594807"/>
    <w:multiLevelType w:val="hybridMultilevel"/>
    <w:lvl w:ilvl="0">
      <w:lvlJc w:val="left"/>
      <w:lvlText w:val="(%1)"/>
      <w:numFmt w:val="lowerLetter"/>
      <w:start w:val="43"/>
    </w:lvl>
  </w:abstractNum>
  <w:abstractNum w:abstractNumId="44">
    <w:nsid w:val="6CAA2304"/>
    <w:multiLevelType w:val="hybridMultilevel"/>
    <w:lvl w:ilvl="0">
      <w:lvlJc w:val="left"/>
      <w:lvlText w:val="(%1)"/>
      <w:numFmt w:val="lowerLetter"/>
      <w:start w:val="50"/>
    </w:lvl>
  </w:abstractNum>
  <w:abstractNum w:abstractNumId="45">
    <w:nsid w:val="3F7C2FF4"/>
    <w:multiLevelType w:val="hybridMultilevel"/>
    <w:lvl w:ilvl="0">
      <w:lvlJc w:val="left"/>
      <w:lvlText w:val="%1."/>
      <w:numFmt w:val="decimal"/>
      <w:start w:val="4"/>
    </w:lvl>
    <w:lvl w:ilvl="1">
      <w:lvlJc w:val="left"/>
      <w:lvlText w:val="(%2)"/>
      <w:numFmt w:val="lowerLetter"/>
      <w:start w:val="1"/>
    </w:lvl>
  </w:abstractNum>
  <w:abstractNum w:abstractNumId="46">
    <w:nsid w:val="25413BEC"/>
    <w:multiLevelType w:val="hybridMultilevel"/>
    <w:lvl w:ilvl="0">
      <w:lvlJc w:val="left"/>
      <w:lvlText w:val="%1"/>
      <w:numFmt w:val="lowerRoman"/>
      <w:start w:val="1"/>
    </w:lvl>
    <w:lvl w:ilvl="1">
      <w:lvlJc w:val="left"/>
      <w:lvlText w:val="(%2)"/>
      <w:numFmt w:val="lowerLetter"/>
      <w:start w:val="3"/>
    </w:lvl>
  </w:abstractNum>
  <w:abstractNum w:abstractNumId="47">
    <w:nsid w:val="17180B0B"/>
    <w:multiLevelType w:val="hybridMultilevel"/>
    <w:lvl w:ilvl="0">
      <w:lvlJc w:val="left"/>
      <w:lvlText w:val="(%1)"/>
      <w:numFmt w:val="lowerRoman"/>
      <w:start w:val="2"/>
    </w:lvl>
    <w:lvl w:ilvl="1">
      <w:lvlJc w:val="left"/>
      <w:lvlText w:val="(%2)"/>
      <w:numFmt w:val="lowerLetter"/>
      <w:start w:val="6"/>
    </w:lvl>
  </w:abstractNum>
  <w:abstractNum w:abstractNumId="48">
    <w:nsid w:val="579328B9"/>
    <w:multiLevelType w:val="hybridMultilevel"/>
    <w:lvl w:ilvl="0">
      <w:lvlJc w:val="left"/>
      <w:lvlText w:val="(%1)"/>
      <w:numFmt w:val="decimal"/>
      <w:start w:val="2"/>
    </w:lvl>
    <w:lvl w:ilvl="1">
      <w:lvlJc w:val="left"/>
      <w:lvlText w:val="(%2)"/>
      <w:numFmt w:val="lowerLetter"/>
      <w:start w:val="7"/>
    </w:lvl>
  </w:abstractNum>
  <w:abstractNum w:abstractNumId="49">
    <w:nsid w:val="5D205E20"/>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50">
    <w:nsid w:val="11CCA8BA"/>
    <w:multiLevelType w:val="hybridMultilevel"/>
    <w:lvl w:ilvl="0">
      <w:lvlJc w:val="left"/>
      <w:lvlText w:val="(%1)"/>
      <w:numFmt w:val="lowerRoman"/>
      <w:start w:val="1"/>
    </w:lvl>
  </w:abstractNum>
  <w:abstractNum w:abstractNumId="51">
    <w:nsid w:val="4D32AB86"/>
    <w:multiLevelType w:val="hybridMultilevel"/>
    <w:lvl w:ilvl="0">
      <w:lvlJc w:val="left"/>
      <w:lvlText w:val="(%1)"/>
      <w:numFmt w:val="lowerRoman"/>
      <w:start w:val="2"/>
    </w:lvl>
  </w:abstractNum>
  <w:abstractNum w:abstractNumId="52">
    <w:nsid w:val="3F07ACC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8"/>
    </w:lvl>
    <w:lvl w:ilvl="3">
      <w:lvlJc w:val="left"/>
      <w:lvlText w:val="(%4)"/>
      <w:numFmt w:val="upperLetter"/>
      <w:start w:val="1"/>
    </w:lvl>
  </w:abstractNum>
  <w:abstractNum w:abstractNumId="53">
    <w:nsid w:val="6B47F6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54">
    <w:nsid w:val="5CB44A0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upperLetter"/>
      <w:start w:val="1"/>
    </w:lvl>
  </w:abstractNum>
  <w:abstractNum w:abstractNumId="55">
    <w:nsid w:val="16CF80F1"/>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56">
    <w:nsid w:val="1C695DEC"/>
    <w:multiLevelType w:val="hybridMultilevel"/>
    <w:lvl w:ilvl="0">
      <w:lvlJc w:val="left"/>
      <w:lvlText w:val="%1"/>
      <w:numFmt w:val="lowerLetter"/>
      <w:start w:val="1"/>
    </w:lvl>
    <w:lvl w:ilvl="1">
      <w:lvlJc w:val="left"/>
      <w:lvlText w:val="(%2)"/>
      <w:numFmt w:val="lowerLetter"/>
      <w:start w:val="11"/>
    </w:lvl>
  </w:abstractNum>
  <w:abstractNum w:abstractNumId="57">
    <w:nsid w:val="3FCFAED9"/>
    <w:multiLevelType w:val="hybridMultilevel"/>
    <w:lvl w:ilvl="0">
      <w:lvlJc w:val="left"/>
      <w:lvlText w:val="(%1)"/>
      <w:numFmt w:val="lowerLetter"/>
      <w:start w:val="9"/>
    </w:lvl>
    <w:lvl w:ilvl="1">
      <w:lvlJc w:val="left"/>
      <w:lvlText w:val="%2"/>
      <w:numFmt w:val="lowerLetter"/>
      <w:start w:val="1"/>
    </w:lvl>
  </w:abstractNum>
  <w:abstractNum w:abstractNumId="58">
    <w:nsid w:val="F856867"/>
    <w:multiLevelType w:val="hybridMultilevel"/>
    <w:lvl w:ilvl="0">
      <w:lvlJc w:val="left"/>
      <w:lvlText w:val="(%1)"/>
      <w:numFmt w:val="lowerLetter"/>
      <w:start w:val="12"/>
    </w:lvl>
  </w:abstractNum>
  <w:abstractNum w:abstractNumId="59">
    <w:nsid w:val="11B1CC33"/>
    <w:multiLevelType w:val="hybridMultilevel"/>
    <w:lvl w:ilvl="0">
      <w:lvlJc w:val="left"/>
      <w:lvlText w:val="(%1)"/>
      <w:numFmt w:val="lowerLetter"/>
      <w:start w:val="14"/>
    </w:lvl>
    <w:lvl w:ilvl="1">
      <w:lvlJc w:val="left"/>
      <w:lvlText w:val="(%2)"/>
      <w:numFmt w:val="lowerLetter"/>
      <w:start w:val="9"/>
    </w:lvl>
  </w:abstractNum>
  <w:abstractNum w:abstractNumId="60">
    <w:nsid w:val="2E22FBB7"/>
    <w:multiLevelType w:val="hybridMultilevel"/>
    <w:lvl w:ilvl="0">
      <w:lvlJc w:val="left"/>
      <w:lvlText w:val="(%1)"/>
      <w:numFmt w:val="lowerRoman"/>
      <w:start w:val="2"/>
    </w:lvl>
  </w:abstractNum>
  <w:abstractNum w:abstractNumId="61">
    <w:nsid w:val="29934699"/>
    <w:multiLevelType w:val="hybridMultilevel"/>
    <w:lvl w:ilvl="0">
      <w:lvlJc w:val="left"/>
      <w:lvlText w:val="%1"/>
      <w:numFmt w:val="upperLetter"/>
      <w:start w:val="1"/>
    </w:lvl>
    <w:lvl w:ilvl="1">
      <w:lvlJc w:val="left"/>
      <w:lvlText w:val="(%2)"/>
      <w:numFmt w:val="lowerRoman"/>
      <w:start w:val="4"/>
    </w:lvl>
  </w:abstractNum>
  <w:abstractNum w:abstractNumId="62">
    <w:nsid w:val="77485850"/>
    <w:multiLevelType w:val="hybridMultilevel"/>
    <w:lvl w:ilvl="0">
      <w:lvlJc w:val="left"/>
      <w:lvlText w:val="(%1)"/>
      <w:numFmt w:val="upperLetter"/>
      <w:start w:val="3"/>
    </w:lvl>
    <w:lvl w:ilvl="1">
      <w:lvlJc w:val="left"/>
      <w:lvlText w:val="%2"/>
      <w:numFmt w:val="lowerRoman"/>
      <w:start w:val="1"/>
    </w:lvl>
  </w:abstractNum>
  <w:abstractNum w:abstractNumId="63">
    <w:nsid w:val="744939A3"/>
    <w:multiLevelType w:val="hybridMultilevel"/>
    <w:lvl w:ilvl="0">
      <w:lvlJc w:val="left"/>
      <w:lvlText w:val="%1"/>
      <w:numFmt w:val="lowerLetter"/>
      <w:start w:val="1"/>
    </w:lvl>
    <w:lvl w:ilvl="1">
      <w:lvlJc w:val="left"/>
      <w:lvlText w:val="(%2)"/>
      <w:numFmt w:val="lowerRoman"/>
      <w:start w:val="8"/>
    </w:lvl>
  </w:abstractNum>
  <w:abstractNum w:abstractNumId="64">
    <w:nsid w:val="4FA0D2E3"/>
    <w:multiLevelType w:val="hybridMultilevel"/>
    <w:lvl w:ilvl="0">
      <w:lvlJc w:val="left"/>
      <w:lvlText w:val="(%1)"/>
      <w:numFmt w:val="lowerLetter"/>
      <w:start w:val="16"/>
    </w:lvl>
    <w:lvl w:ilvl="1">
      <w:lvlJc w:val="left"/>
      <w:lvlText w:val="%2"/>
      <w:numFmt w:val="lowerRoman"/>
      <w:start w:val="1"/>
    </w:lvl>
  </w:abstractNum>
  <w:abstractNum w:abstractNumId="65">
    <w:nsid w:val="6B1D2C14"/>
    <w:multiLevelType w:val="hybridMultilevel"/>
    <w:lvl w:ilvl="0">
      <w:lvlJc w:val="left"/>
      <w:lvlText w:val="(%1)"/>
      <w:numFmt w:val="lowerLetter"/>
      <w:start w:val="21"/>
    </w:lvl>
    <w:lvl w:ilvl="1">
      <w:lvlJc w:val="left"/>
      <w:lvlText w:val="(%2)"/>
      <w:numFmt w:val="lowerLetter"/>
      <w:start w:val="9"/>
    </w:lvl>
  </w:abstractNum>
  <w:abstractNum w:abstractNumId="66">
    <w:nsid w:val="68B867D3"/>
    <w:multiLevelType w:val="hybridMultilevel"/>
    <w:lvl w:ilvl="0">
      <w:lvlJc w:val="left"/>
      <w:lvlText w:val="%1"/>
      <w:numFmt w:val="lowerLetter"/>
      <w:start w:val="1"/>
    </w:lvl>
    <w:lvl w:ilvl="1">
      <w:lvlJc w:val="left"/>
      <w:lvlText w:val="(%2)"/>
      <w:numFmt w:val="lowerRoman"/>
      <w:start w:val="2"/>
    </w:lvl>
  </w:abstractNum>
  <w:abstractNum w:abstractNumId="67">
    <w:nsid w:val="3F7F5DD9"/>
    <w:multiLevelType w:val="hybridMultilevel"/>
    <w:lvl w:ilvl="0">
      <w:lvlJc w:val="left"/>
      <w:lvlText w:val="(%1)"/>
      <w:numFmt w:val="lowerLetter"/>
      <w:start w:val="24"/>
    </w:lvl>
    <w:lvl w:ilvl="1">
      <w:lvlJc w:val="left"/>
      <w:lvlText w:val="%2"/>
      <w:numFmt w:val="lowerRoman"/>
      <w:start w:val="1"/>
    </w:lvl>
  </w:abstractNum>
  <w:abstractNum w:abstractNumId="68">
    <w:nsid w:val="2AE05A34"/>
    <w:multiLevelType w:val="hybridMultilevel"/>
    <w:lvl w:ilvl="0">
      <w:lvlJc w:val="left"/>
      <w:lvlText w:val="(%1)"/>
      <w:numFmt w:val="lowerLetter"/>
      <w:start w:val="27"/>
    </w:lvl>
  </w:abstractNum>
  <w:abstractNum w:abstractNumId="69">
    <w:nsid w:val="32794FF7"/>
    <w:multiLevelType w:val="hybridMultilevel"/>
    <w:lvl w:ilvl="0">
      <w:lvlJc w:val="left"/>
      <w:lvlText w:val="%1."/>
      <w:numFmt w:val="decimal"/>
      <w:start w:val="5"/>
    </w:lvl>
    <w:lvl w:ilvl="1">
      <w:lvlJc w:val="left"/>
      <w:lvlText w:val="(%2)"/>
      <w:numFmt w:val="lowerLetter"/>
      <w:start w:val="1"/>
    </w:lvl>
  </w:abstractNum>
  <w:abstractNum w:abstractNumId="70">
    <w:nsid w:val="5454945E"/>
    <w:multiLevelType w:val="hybridMultilevel"/>
    <w:lvl w:ilvl="0">
      <w:lvlJc w:val="left"/>
      <w:lvlText w:val="(%1)"/>
      <w:numFmt w:val="upperLetter"/>
      <w:start w:val="2"/>
    </w:lvl>
  </w:abstractNum>
  <w:abstractNum w:abstractNumId="71">
    <w:nsid w:val="4DEFDFA0"/>
    <w:multiLevelType w:val="hybridMultilevel"/>
    <w:lvl w:ilvl="0">
      <w:lvlJc w:val="left"/>
      <w:lvlText w:val="%1"/>
      <w:numFmt w:val="lowerLetter"/>
      <w:start w:val="1"/>
    </w:lvl>
    <w:lvl w:ilvl="1">
      <w:lvlJc w:val="left"/>
      <w:lvlText w:val="(%2)"/>
      <w:numFmt w:val="lowerLetter"/>
      <w:start w:val="4"/>
    </w:lvl>
  </w:abstractNum>
  <w:abstractNum w:abstractNumId="72">
    <w:nsid w:val="2123D5F2"/>
    <w:multiLevelType w:val="hybridMultilevel"/>
    <w:lvl w:ilvl="0">
      <w:lvlJc w:val="left"/>
      <w:lvlText w:val="(%1)"/>
      <w:numFmt w:val="lowerLetter"/>
      <w:start w:val="35"/>
    </w:lvl>
    <w:lvl w:ilvl="1">
      <w:lvlJc w:val="left"/>
      <w:lvlText w:val="%2"/>
      <w:numFmt w:val="lowerLetter"/>
      <w:start w:val="1"/>
    </w:lvl>
  </w:abstractNum>
  <w:abstractNum w:abstractNumId="73">
    <w:nsid w:val="135B8110"/>
    <w:multiLevelType w:val="hybridMultilevel"/>
    <w:lvl w:ilvl="0">
      <w:lvlJc w:val="left"/>
      <w:lvlText w:val="(%1)"/>
      <w:numFmt w:val="lowerLetter"/>
      <w:start w:val="5"/>
    </w:lvl>
  </w:abstractNum>
  <w:abstractNum w:abstractNumId="74">
    <w:nsid w:val="94927A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5">
    <w:nsid w:val="DCDF8F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6">
    <w:nsid w:val="52D7B1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2E8A63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8">
    <w:nsid w:val="24E60401"/>
    <w:multiLevelType w:val="hybridMultilevel"/>
    <w:lvl w:ilvl="0">
      <w:lvlJc w:val="left"/>
      <w:lvlText w:val="(%1)"/>
      <w:numFmt w:val="lowerRoman"/>
      <w:start w:val="5"/>
    </w:lvl>
  </w:abstractNum>
  <w:abstractNum w:abstractNumId="79">
    <w:nsid w:val="2A6AD9BE"/>
    <w:multiLevelType w:val="hybridMultilevel"/>
    <w:lvl w:ilvl="0">
      <w:lvlJc w:val="left"/>
      <w:lvlText w:val="(%1)"/>
      <w:numFmt w:val="lowerRoman"/>
      <w:start w:val="12"/>
    </w:lvl>
  </w:abstractNum>
  <w:abstractNum w:abstractNumId="80">
    <w:nsid w:val="BAAC1B4"/>
    <w:multiLevelType w:val="hybridMultilevel"/>
    <w:lvl w:ilvl="0">
      <w:lvlJc w:val="left"/>
      <w:lvlText w:val="%1"/>
      <w:numFmt w:val="lowerLetter"/>
      <w:start w:val="1"/>
    </w:lvl>
    <w:lvl w:ilvl="1">
      <w:lvlJc w:val="left"/>
      <w:lvlText w:val="(%2)"/>
      <w:numFmt w:val="lowerRoman"/>
      <w:start w:val="19"/>
    </w:lvl>
  </w:abstractNum>
  <w:abstractNum w:abstractNumId="81">
    <w:nsid w:val="36B2ACBC"/>
    <w:multiLevelType w:val="hybridMultilevel"/>
    <w:lvl w:ilvl="0">
      <w:lvlJc w:val="left"/>
      <w:lvlText w:val="(%1)"/>
      <w:numFmt w:val="lowerLetter"/>
      <w:start w:val="2"/>
    </w:lvl>
    <w:lvl w:ilvl="1">
      <w:lvlJc w:val="left"/>
      <w:lvlText w:val="(%2)"/>
      <w:numFmt w:val="lowerRoman"/>
      <w:start w:val="1"/>
    </w:lvl>
  </w:abstractNum>
  <w:abstractNum w:abstractNumId="82">
    <w:nsid w:val="779D8544"/>
    <w:multiLevelType w:val="hybridMultilevel"/>
    <w:lvl w:ilvl="0">
      <w:lvlJc w:val="left"/>
      <w:lvlText w:val="(%1)"/>
      <w:numFmt w:val="lowerRoman"/>
      <w:start w:val="3"/>
    </w:lvl>
  </w:abstractNum>
  <w:abstractNum w:abstractNumId="83">
    <w:nsid w:val="4AB26E78"/>
    <w:multiLevelType w:val="hybridMultilevel"/>
    <w:lvl w:ilvl="0">
      <w:lvlJc w:val="left"/>
      <w:lvlText w:val="(%1)"/>
      <w:numFmt w:val="lowerRoman"/>
      <w:start w:val="10"/>
    </w:lvl>
  </w:abstractNum>
  <w:abstractNum w:abstractNumId="84">
    <w:nsid w:val="21FAA2FA"/>
    <w:multiLevelType w:val="hybridMultilevel"/>
    <w:lvl w:ilvl="0">
      <w:lvlJc w:val="left"/>
      <w:lvlText w:val="(%1)"/>
      <w:numFmt w:val="lowerRoman"/>
      <w:start w:val="18"/>
    </w:lvl>
  </w:abstractNum>
  <w:abstractNum w:abstractNumId="85">
    <w:nsid w:val="5451CF49"/>
    <w:multiLevelType w:val="hybridMultilevel"/>
    <w:lvl w:ilvl="0">
      <w:lvlJc w:val="left"/>
      <w:lvlText w:val="%1."/>
      <w:numFmt w:val="decimal"/>
      <w:start w:val="9"/>
    </w:lvl>
    <w:lvl w:ilvl="1">
      <w:lvlJc w:val="left"/>
      <w:lvlText w:val="(%2)"/>
      <w:numFmt w:val="lowerLetter"/>
      <w:start w:val="1"/>
    </w:lvl>
  </w:abstractNum>
  <w:abstractNum w:abstractNumId="86">
    <w:nsid w:val="6181EF69"/>
    <w:multiLevelType w:val="hybridMultilevel"/>
    <w:lvl w:ilvl="0">
      <w:lvlJc w:val="left"/>
      <w:lvlText w:val="(%1)"/>
      <w:numFmt w:val="lowerLetter"/>
      <w:start w:val="3"/>
    </w:lvl>
  </w:abstractNum>
  <w:abstractNum w:abstractNumId="87">
    <w:nsid w:val="3E6400E6"/>
    <w:multiLevelType w:val="hybridMultilevel"/>
    <w:lvl w:ilvl="0">
      <w:lvlJc w:val="left"/>
      <w:lvlText w:val="(%1)"/>
      <w:numFmt w:val="decimal"/>
      <w:start w:val="2"/>
    </w:lvl>
  </w:abstractNum>
  <w:abstractNum w:abstractNumId="88">
    <w:nsid w:val="14217E23"/>
    <w:multiLevelType w:val="hybridMultilevel"/>
    <w:lvl w:ilvl="0">
      <w:lvlJc w:val="left"/>
      <w:lvlText w:val="(%1)"/>
      <w:numFmt w:val="lowerLetter"/>
      <w:start w:val="6"/>
    </w:lvl>
  </w:abstractNum>
  <w:abstractNum w:abstractNumId="89">
    <w:nsid w:val="710757D0"/>
    <w:multiLevelType w:val="hybridMultilevel"/>
    <w:lvl w:ilvl="0">
      <w:lvlJc w:val="left"/>
      <w:lvlText w:val="(%1)"/>
      <w:numFmt w:val="upperLetter"/>
      <w:start w:val="3"/>
    </w:lvl>
    <w:lvl w:ilvl="1">
      <w:lvlJc w:val="left"/>
      <w:lvlText w:val="(%2)"/>
      <w:numFmt w:val="lowerLetter"/>
      <w:start w:val="7"/>
    </w:lvl>
  </w:abstractNum>
  <w:abstractNum w:abstractNumId="90">
    <w:nsid w:val="5015CD1A"/>
    <w:multiLevelType w:val="hybridMultilevel"/>
    <w:lvl w:ilvl="0">
      <w:lvlJc w:val="left"/>
      <w:lvlText w:val="%1"/>
      <w:numFmt w:val="upperLetter"/>
      <w:start w:val="1"/>
    </w:lvl>
    <w:lvl w:ilvl="1">
      <w:lvlJc w:val="left"/>
      <w:lvlText w:val="(%2)"/>
      <w:numFmt w:val="lowerLetter"/>
      <w:start w:val="8"/>
    </w:lvl>
  </w:abstractNum>
  <w:abstractNum w:abstractNumId="91">
    <w:nsid w:val="424479DA"/>
    <w:multiLevelType w:val="hybridMultilevel"/>
    <w:lvl w:ilvl="0">
      <w:lvlJc w:val="left"/>
      <w:lvlText w:val="(%1)"/>
      <w:numFmt w:val="upperLetter"/>
      <w:start w:val="3"/>
    </w:lvl>
    <w:lvl w:ilvl="1">
      <w:lvlJc w:val="left"/>
      <w:lvlText w:val="%2"/>
      <w:numFmt w:val="lowerLetter"/>
      <w:start w:val="1"/>
    </w:lvl>
  </w:abstractNum>
  <w:abstractNum w:abstractNumId="92">
    <w:nsid w:val="1A9A9E69"/>
    <w:multiLevelType w:val="hybridMultilevel"/>
    <w:lvl w:ilvl="0">
      <w:lvlJc w:val="left"/>
      <w:lvlText w:val="(%1)"/>
      <w:numFmt w:val="lowerLetter"/>
      <w:start w:val="12"/>
    </w:lvl>
  </w:abstractNum>
  <w:abstractNum w:abstractNumId="93">
    <w:nsid w:val="475E256A"/>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94">
    <w:nsid w:val="368DB37E"/>
    <w:multiLevelType w:val="hybridMultilevel"/>
    <w:lvl w:ilvl="0">
      <w:lvlJc w:val="left"/>
      <w:lvlText w:val="(%1)"/>
      <w:numFmt w:val="lowerLetter"/>
      <w:start w:val="17"/>
    </w:lvl>
  </w:abstractNum>
  <w:abstractNum w:abstractNumId="95">
    <w:nsid w:val="6A3B714C"/>
    <w:multiLevelType w:val="hybridMultilevel"/>
    <w:lvl w:ilvl="0">
      <w:lvlJc w:val="left"/>
      <w:lvlText w:val="%1."/>
      <w:numFmt w:val="decimal"/>
      <w:start w:val="1"/>
    </w:lvl>
    <w:lvl w:ilvl="1">
      <w:lvlJc w:val="left"/>
      <w:lvlText w:val="(%2)"/>
      <w:numFmt w:val="lowerLetter"/>
      <w:start w:val="1"/>
    </w:lvl>
  </w:abstractNum>
  <w:abstractNum w:abstractNumId="96">
    <w:nsid w:val="327B517E"/>
    <w:multiLevelType w:val="hybridMultilevel"/>
    <w:lvl w:ilvl="0">
      <w:lvlJc w:val="left"/>
      <w:lvlText w:val="1"/>
      <w:numFmt w:val="bullet"/>
      <w:start w:val="1"/>
    </w:lvl>
  </w:abstractNum>
  <w:abstractNum w:abstractNumId="97">
    <w:nsid w:val="1F461B51"/>
    <w:multiLevelType w:val="hybridMultilevel"/>
    <w:lvl w:ilvl="0">
      <w:lvlJc w:val="left"/>
      <w:lvlText w:val="%1"/>
      <w:numFmt w:val="decimal"/>
      <w:start w:val="1"/>
    </w:lvl>
    <w:lvl w:ilvl="1">
      <w:lvlJc w:val="left"/>
      <w:lvlText w:val="(%2)"/>
      <w:numFmt w:val="lowerLetter"/>
      <w:start w:val="3"/>
    </w:lvl>
  </w:abstractNum>
  <w:abstractNum w:abstractNumId="98">
    <w:nsid w:val="29BACF25"/>
    <w:multiLevelType w:val="hybridMultilevel"/>
    <w:lvl w:ilvl="0">
      <w:lvlJc w:val="left"/>
      <w:lvlText w:val="%1."/>
      <w:numFmt w:val="decimal"/>
      <w:start w:val="3"/>
    </w:lvl>
    <w:lvl w:ilvl="1">
      <w:lvlJc w:val="left"/>
      <w:lvlText w:val="(%2)"/>
      <w:numFmt w:val="lowerLetter"/>
      <w:start w:val="1"/>
    </w:lvl>
  </w:abstractNum>
  <w:abstractNum w:abstractNumId="99">
    <w:nsid w:val="5D5BABB3"/>
    <w:multiLevelType w:val="hybridMultilevel"/>
    <w:lvl w:ilvl="0">
      <w:lvlJc w:val="left"/>
      <w:lvlText w:val="(%1)"/>
      <w:numFmt w:val="lowerLetter"/>
      <w:start w:val="2"/>
    </w:lvl>
    <w:lvl w:ilvl="1">
      <w:lvlJc w:val="left"/>
      <w:lvlText w:val="(%2)"/>
      <w:numFmt w:val="upperLetter"/>
      <w:start w:val="3"/>
    </w:lvl>
    <w:lvl w:ilvl="2">
      <w:lvlJc w:val="left"/>
      <w:lvlText w:val="(%3)"/>
      <w:numFmt w:val="lowerLetter"/>
      <w:start w:val="9"/>
    </w:lvl>
  </w:abstractNum>
  <w:abstractNum w:abstractNumId="100">
    <w:nsid w:val="51BF6B48"/>
    <w:multiLevelType w:val="hybridMultilevel"/>
    <w:lvl w:ilvl="0">
      <w:lvlJc w:val="left"/>
      <w:lvlText w:val="(%1)"/>
      <w:numFmt w:val="lowerLetter"/>
      <w:start w:val="3"/>
    </w:lvl>
    <w:lvl w:ilvl="1">
      <w:lvlJc w:val="left"/>
      <w:lvlText w:val="(%2)"/>
      <w:numFmt w:val="lowerLetter"/>
      <w:start w:val="9"/>
    </w:lvl>
  </w:abstractNum>
  <w:abstractNum w:abstractNumId="101">
    <w:nsid w:val="7E0F6384"/>
    <w:multiLevelType w:val="hybridMultilevel"/>
    <w:lvl w:ilvl="0">
      <w:lvlJc w:val="left"/>
      <w:lvlText w:val="2"/>
      <w:numFmt w:val="bullet"/>
      <w:start w:val="1"/>
    </w:lvl>
  </w:abstractNum>
  <w:abstractNum w:abstractNumId="102">
    <w:nsid w:val="2B4B8B53"/>
    <w:multiLevelType w:val="hybridMultilevel"/>
    <w:lvl w:ilvl="0">
      <w:lvlJc w:val="left"/>
      <w:lvlText w:val="(%1)"/>
      <w:numFmt w:val="lowerRoman"/>
      <w:start w:val="2"/>
    </w:lvl>
  </w:abstractNum>
  <w:abstractNum w:abstractNumId="103">
    <w:nsid w:val="72E3413A"/>
    <w:multiLevelType w:val="hybridMultilevel"/>
    <w:lvl w:ilvl="0">
      <w:lvlJc w:val="left"/>
      <w:lvlText w:val="(%1)"/>
      <w:numFmt w:val="lowerRoman"/>
      <w:start w:val="3"/>
    </w:lvl>
  </w:abstractNum>
  <w:abstractNum w:abstractNumId="104">
    <w:nsid w:val="116AE49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05">
    <w:nsid w:val="3494B2FB"/>
    <w:multiLevelType w:val="hybridMultilevel"/>
    <w:lvl w:ilvl="0">
      <w:lvlJc w:val="left"/>
      <w:lvlText w:val="(%1)"/>
      <w:numFmt w:val="lowerLetter"/>
      <w:start w:val="4"/>
    </w:lvl>
    <w:lvl w:ilvl="1">
      <w:lvlJc w:val="left"/>
      <w:lvlText w:val="(%2)"/>
      <w:numFmt w:val="upperLetter"/>
    </w:lvl>
    <w:lvl w:ilvl="2">
      <w:lvlJc w:val="left"/>
      <w:lvlText w:val="(%3)"/>
      <w:numFmt w:val="lowerRoman"/>
      <w:start w:val="1"/>
    </w:lvl>
  </w:abstractNum>
  <w:abstractNum w:abstractNumId="106">
    <w:nsid w:val="B13A31"/>
    <w:multiLevelType w:val="hybridMultilevel"/>
    <w:lvl w:ilvl="0">
      <w:lvlJc w:val="left"/>
      <w:lvlText w:val="(%1)"/>
      <w:numFmt w:val="lowerRoman"/>
      <w:start w:val="2"/>
    </w:lvl>
  </w:abstractNum>
  <w:abstractNum w:abstractNumId="107">
    <w:nsid w:val="644295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decimal"/>
      <w:start w:val="1"/>
    </w:lvl>
  </w:abstractNum>
  <w:abstractNum w:abstractNumId="108">
    <w:nsid w:val="631F169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09">
    <w:nsid w:val="25973E32"/>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9"/>
    </w:lvl>
    <w:lvl w:ilvl="3">
      <w:lvlJc w:val="left"/>
      <w:lvlText w:val="(%4)"/>
      <w:numFmt w:val="decimal"/>
      <w:start w:val="1"/>
    </w:lvl>
  </w:abstractNum>
  <w:abstractNum w:abstractNumId="110">
    <w:nsid w:val="EAD6F57"/>
    <w:multiLevelType w:val="hybridMultilevel"/>
    <w:lvl w:ilvl="0">
      <w:lvlJc w:val="left"/>
      <w:lvlText w:val="%1"/>
      <w:numFmt w:val="lowerRoman"/>
      <w:start w:val="1"/>
    </w:lvl>
    <w:lvl w:ilvl="1">
      <w:lvlJc w:val="left"/>
      <w:lvlText w:val="(%2)"/>
      <w:numFmt w:val="decimal"/>
      <w:start w:val="2"/>
    </w:lvl>
  </w:abstractNum>
  <w:abstractNum w:abstractNumId="111">
    <w:nsid w:val="6EC9D844"/>
    <w:multiLevelType w:val="hybridMultilevel"/>
    <w:lvl w:ilvl="0">
      <w:lvlJc w:val="left"/>
      <w:lvlText w:val="(%1)"/>
      <w:numFmt w:val="lowerRoman"/>
      <w:start w:val="2"/>
    </w:lvl>
    <w:lvl w:ilvl="1">
      <w:lvlJc w:val="left"/>
      <w:lvlText w:val="%2"/>
      <w:numFmt w:val="decimal"/>
      <w:start w:val="1"/>
    </w:lvl>
  </w:abstractNum>
  <w:abstractNum w:abstractNumId="112">
    <w:nsid w:val="5C49EAE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3">
    <w:nsid w:val="64AF49B"/>
    <w:multiLevelType w:val="hybridMultilevel"/>
    <w:lvl w:ilvl="0">
      <w:lvlJc w:val="left"/>
      <w:lvlText w:val="%1"/>
      <w:numFmt w:val="decimal"/>
      <w:start w:val="1"/>
    </w:lvl>
    <w:lvl w:ilvl="1">
      <w:lvlJc w:val="left"/>
      <w:lvlText w:val="(%2)"/>
      <w:numFmt w:val="lowerRoman"/>
      <w:start w:val="7"/>
    </w:lvl>
  </w:abstractNum>
  <w:abstractNum w:abstractNumId="114">
    <w:nsid w:val="397C46BC"/>
    <w:multiLevelType w:val="hybridMultilevel"/>
    <w:lvl w:ilvl="0">
      <w:lvlJc w:val="left"/>
      <w:lvlText w:val="(%1)"/>
      <w:numFmt w:val="decimal"/>
      <w:start w:val="5"/>
    </w:lvl>
    <w:lvl w:ilvl="1">
      <w:lvlJc w:val="left"/>
      <w:lvlText w:val="(%2)"/>
      <w:numFmt w:val="lowerRoman"/>
      <w:start w:val="8"/>
    </w:lvl>
  </w:abstractNum>
  <w:abstractNum w:abstractNumId="115">
    <w:nsid w:val="7E448DE9"/>
    <w:multiLevelType w:val="hybridMultilevel"/>
    <w:lvl w:ilvl="0">
      <w:lvlJc w:val="left"/>
      <w:lvlText w:val="(%1)"/>
      <w:numFmt w:val="lowerRoman"/>
      <w:start w:val="11"/>
    </w:lvl>
  </w:abstractNum>
  <w:abstractNum w:abstractNumId="116">
    <w:nsid w:val="5A9CC3E5"/>
    <w:multiLevelType w:val="hybridMultilevel"/>
    <w:lvl w:ilvl="0">
      <w:lvlJc w:val="left"/>
      <w:lvlText w:val="(%1)"/>
      <w:numFmt w:val="lowerRoman"/>
      <w:start w:val="16"/>
    </w:lvl>
  </w:abstractNum>
  <w:abstractNum w:abstractNumId="117">
    <w:nsid w:val="1AFE3625"/>
    <w:multiLevelType w:val="hybridMultilevel"/>
    <w:lvl w:ilvl="0">
      <w:lvlJc w:val="left"/>
      <w:lvlText w:val="%1"/>
      <w:numFmt w:val="lowerLetter"/>
      <w:start w:val="1"/>
    </w:lvl>
    <w:lvl w:ilvl="1">
      <w:lvlJc w:val="left"/>
      <w:lvlText w:val="(%2)"/>
      <w:numFmt w:val="lowerRoman"/>
      <w:start w:val="24"/>
    </w:lvl>
  </w:abstractNum>
  <w:abstractNum w:abstractNumId="118">
    <w:nsid w:val="3CA88ECF"/>
    <w:multiLevelType w:val="hybridMultilevel"/>
    <w:lvl w:ilvl="0">
      <w:lvlJc w:val="left"/>
      <w:lvlText w:val="(%1)"/>
      <w:numFmt w:val="lowerLetter"/>
      <w:start w:val="2"/>
    </w:lvl>
    <w:lvl w:ilvl="1">
      <w:lvlJc w:val="left"/>
      <w:lvlText w:val="%2"/>
      <w:numFmt w:val="lowerRoman"/>
      <w:start w:val="1"/>
    </w:lvl>
  </w:abstractNum>
  <w:abstractNum w:abstractNumId="119">
    <w:nsid w:val="6EBE4208"/>
    <w:multiLevelType w:val="hybridMultilevel"/>
    <w:lvl w:ilvl="0">
      <w:lvlJc w:val="left"/>
      <w:lvlText w:val="%1."/>
      <w:numFmt w:val="decimal"/>
      <w:start w:val="5"/>
    </w:lvl>
    <w:lvl w:ilvl="1">
      <w:lvlJc w:val="left"/>
      <w:lvlText w:val="(%2)"/>
      <w:numFmt w:val="lowerLetter"/>
      <w:start w:val="1"/>
    </w:lvl>
  </w:abstractNum>
  <w:abstractNum w:abstractNumId="120">
    <w:nsid w:val="C058DF5"/>
    <w:multiLevelType w:val="hybridMultilevel"/>
    <w:lvl w:ilvl="0">
      <w:lvlJc w:val="left"/>
      <w:lvlText w:val="%1"/>
      <w:numFmt w:val="upperLetter"/>
      <w:start w:val="1"/>
    </w:lvl>
    <w:lvl w:ilvl="1">
      <w:lvlJc w:val="left"/>
      <w:lvlText w:val="(%2)"/>
      <w:numFmt w:val="lowerLetter"/>
      <w:start w:val="2"/>
    </w:lvl>
  </w:abstractNum>
  <w:abstractNum w:abstractNumId="121">
    <w:nsid w:val="CBE5BE9"/>
    <w:multiLevelType w:val="hybridMultilevel"/>
    <w:lvl w:ilvl="0">
      <w:lvlJc w:val="left"/>
      <w:lvlText w:val="(%1)"/>
      <w:numFmt w:val="upperLetter"/>
      <w:start w:val="9"/>
    </w:lvl>
    <w:lvl w:ilvl="1">
      <w:lvlJc w:val="left"/>
      <w:lvlText w:val="%2"/>
      <w:numFmt w:val="lowerLetter"/>
      <w:start w:val="1"/>
    </w:lvl>
  </w:abstractNum>
  <w:abstractNum w:abstractNumId="122">
    <w:nsid w:val="3102BBE2"/>
    <w:multiLevelType w:val="hybridMultilevel"/>
    <w:lvl w:ilvl="0">
      <w:lvlJc w:val="left"/>
      <w:lvlText w:val="%1."/>
      <w:numFmt w:val="decimal"/>
      <w:start w:val="6"/>
    </w:lvl>
    <w:lvl w:ilvl="1">
      <w:lvlJc w:val="left"/>
      <w:lvlText w:val="(%2)"/>
      <w:numFmt w:val="lowerLetter"/>
      <w:start w:val="1"/>
    </w:lvl>
  </w:abstractNum>
  <w:abstractNum w:abstractNumId="123">
    <w:nsid w:val="26A02C5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4">
    <w:nsid w:val="541C8153"/>
    <w:multiLevelType w:val="hybridMultilevel"/>
    <w:lvl w:ilvl="0">
      <w:lvlJc w:val="left"/>
      <w:lvlText w:val="(%1)"/>
      <w:numFmt w:val="lowerRoman"/>
      <w:start w:val="2"/>
    </w:lvl>
  </w:abstractNum>
  <w:abstractNum w:abstractNumId="125">
    <w:nsid w:val="67906F60"/>
    <w:multiLevelType w:val="hybridMultilevel"/>
    <w:lvl w:ilvl="0">
      <w:lvlJc w:val="left"/>
      <w:lvlText w:val="(%1)"/>
      <w:numFmt w:val="lowerRoman"/>
      <w:start w:val="3"/>
    </w:lvl>
  </w:abstractNum>
  <w:abstractNum w:abstractNumId="126">
    <w:nsid w:val="10DB9DAA"/>
    <w:multiLevelType w:val="hybridMultilevel"/>
    <w:lvl w:ilvl="0">
      <w:lvlJc w:val="left"/>
      <w:lvlText w:val="%1"/>
      <w:numFmt w:val="lowerLetter"/>
      <w:start w:val="1"/>
    </w:lvl>
    <w:lvl w:ilvl="1">
      <w:lvlJc w:val="left"/>
      <w:lvlText w:val="(%2)"/>
      <w:numFmt w:val="lowerLetter"/>
      <w:start w:val="22"/>
    </w:lvl>
  </w:abstractNum>
  <w:abstractNum w:abstractNumId="127">
    <w:nsid w:val="697D2D2"/>
    <w:multiLevelType w:val="hybridMultilevel"/>
    <w:lvl w:ilvl="0">
      <w:lvlJc w:val="left"/>
      <w:lvlText w:val="(%1)"/>
      <w:numFmt w:val="lowerLetter"/>
      <w:start w:val="2"/>
    </w:lvl>
    <w:lvl w:ilvl="1">
      <w:lvlJc w:val="left"/>
      <w:lvlText w:val="%2"/>
      <w:numFmt w:val="lowerLetter"/>
      <w:start w:val="1"/>
    </w:lvl>
  </w:abstractNum>
  <w:abstractNum w:abstractNumId="128">
    <w:nsid w:val="6D68AB2"/>
    <w:multiLevelType w:val="hybridMultilevel"/>
    <w:lvl w:ilvl="0">
      <w:lvlJc w:val="left"/>
      <w:lvlText w:val="(%1)"/>
      <w:numFmt w:val="lowerLetter"/>
      <w:start w:val="3"/>
    </w:lvl>
  </w:abstractNum>
  <w:abstractNum w:abstractNumId="129">
    <w:nsid w:val="3A966CD0"/>
    <w:multiLevelType w:val="hybridMultilevel"/>
    <w:lvl w:ilvl="0">
      <w:lvlJc w:val="left"/>
      <w:lvlText w:val="%1"/>
      <w:numFmt w:val="decimal"/>
      <w:start w:val="1"/>
    </w:lvl>
    <w:lvl w:ilvl="1">
      <w:lvlJc w:val="left"/>
      <w:lvlText w:val="(%2)"/>
      <w:numFmt w:val="lowerLetter"/>
      <w:start w:val="5"/>
    </w:lvl>
  </w:abstractNum>
  <w:abstractNum w:abstractNumId="130">
    <w:nsid w:val="63F37E85"/>
    <w:multiLevelType w:val="hybridMultilevel"/>
    <w:lvl w:ilvl="0">
      <w:lvlJc w:val="left"/>
      <w:lvlText w:val="%1."/>
      <w:numFmt w:val="decimal"/>
      <w:start w:val="8"/>
    </w:lvl>
    <w:lvl w:ilvl="1">
      <w:lvlJc w:val="left"/>
      <w:lvlText w:val="(%2)"/>
      <w:numFmt w:val="lowerLetter"/>
      <w:start w:val="1"/>
    </w:lvl>
  </w:abstractNum>
  <w:abstractNum w:abstractNumId="131">
    <w:nsid w:val="5895F5FA"/>
    <w:multiLevelType w:val="hybridMultilevel"/>
    <w:lvl w:ilvl="0">
      <w:lvlJc w:val="left"/>
      <w:lvlText w:val="%1"/>
      <w:numFmt w:val="decimal"/>
      <w:start w:val="1"/>
    </w:lvl>
    <w:lvl w:ilvl="1">
      <w:lvlJc w:val="left"/>
      <w:lvlText w:val="(%2)"/>
      <w:numFmt w:val="lowerLetter"/>
      <w:start w:val="2"/>
    </w:lvl>
  </w:abstractNum>
  <w:abstractNum w:abstractNumId="132">
    <w:nsid w:val="38A5D054"/>
    <w:multiLevelType w:val="hybridMultilevel"/>
    <w:lvl w:ilvl="0">
      <w:lvlJc w:val="left"/>
      <w:lvlText w:val="%1."/>
      <w:numFmt w:val="decimal"/>
      <w:start w:val="9"/>
    </w:lvl>
    <w:lvl w:ilvl="1">
      <w:lvlJc w:val="left"/>
      <w:lvlText w:val="(%2)"/>
      <w:numFmt w:val="lowerLetter"/>
      <w:start w:val="1"/>
    </w:lvl>
  </w:abstractNum>
  <w:abstractNum w:abstractNumId="133">
    <w:nsid w:val="F3F09D8"/>
    <w:multiLevelType w:val="hybridMultilevel"/>
    <w:lvl w:ilvl="0">
      <w:lvlJc w:val="left"/>
      <w:lvlText w:val="(%1)"/>
      <w:numFmt w:val="decimal"/>
      <w:start w:val="2"/>
    </w:lvl>
  </w:abstractNum>
  <w:abstractNum w:abstractNumId="134">
    <w:nsid w:val="4B793735"/>
    <w:multiLevelType w:val="hybridMultilevel"/>
    <w:lvl w:ilvl="0">
      <w:lvlJc w:val="left"/>
      <w:lvlText w:val="%1."/>
      <w:numFmt w:val="decimal"/>
      <w:start w:val="10"/>
    </w:lvl>
    <w:lvl w:ilvl="1">
      <w:lvlJc w:val="left"/>
      <w:lvlText w:val="(%2)"/>
      <w:numFmt w:val="lowerLetter"/>
      <w:start w:val="1"/>
    </w:lvl>
  </w:abstractNum>
  <w:abstractNum w:abstractNumId="135">
    <w:nsid w:val="4A10B4E8"/>
    <w:multiLevelType w:val="hybridMultilevel"/>
    <w:lvl w:ilvl="0">
      <w:lvlJc w:val="left"/>
      <w:lvlText w:val="%1"/>
      <w:numFmt w:val="decimal"/>
      <w:start w:val="1"/>
    </w:lvl>
    <w:lvl w:ilvl="1">
      <w:lvlJc w:val="left"/>
      <w:lvlText w:val="(%2)"/>
      <w:numFmt w:val="lowerLetter"/>
      <w:start w:val="2"/>
    </w:lvl>
  </w:abstractNum>
  <w:abstractNum w:abstractNumId="136">
    <w:nsid w:val="43D3BCD4"/>
    <w:multiLevelType w:val="hybridMultilevel"/>
    <w:lvl w:ilvl="0">
      <w:lvlJc w:val="left"/>
      <w:lvlText w:val="%1."/>
      <w:numFmt w:val="decimal"/>
      <w:start w:val="11"/>
    </w:lvl>
    <w:lvl w:ilvl="1">
      <w:lvlJc w:val="left"/>
      <w:lvlText w:val="(%2)"/>
      <w:numFmt w:val="lowerLetter"/>
      <w:start w:val="1"/>
    </w:lvl>
  </w:abstractNum>
  <w:abstractNum w:abstractNumId="137">
    <w:nsid w:val="4C2A7166"/>
    <w:multiLevelType w:val="hybridMultilevel"/>
    <w:lvl w:ilvl="0">
      <w:lvlJc w:val="left"/>
      <w:lvlText w:val="(%1)"/>
      <w:numFmt w:val="lowerLetter"/>
      <w:start w:val="2"/>
    </w:lvl>
  </w:abstractNum>
  <w:abstractNum w:abstractNumId="138">
    <w:nsid w:val="2E534A82"/>
    <w:multiLevelType w:val="hybridMultilevel"/>
    <w:lvl w:ilvl="0">
      <w:lvlJc w:val="left"/>
      <w:lvlText w:val="%1."/>
      <w:numFmt w:val="decimal"/>
      <w:start w:val="13"/>
    </w:lvl>
    <w:lvl w:ilvl="1">
      <w:lvlJc w:val="left"/>
      <w:lvlText w:val="(%2)"/>
      <w:numFmt w:val="lowerLetter"/>
      <w:start w:val="1"/>
    </w:lvl>
  </w:abstractNum>
  <w:abstractNum w:abstractNumId="139">
    <w:nsid w:val="26F2D364"/>
    <w:multiLevelType w:val="hybridMultilevel"/>
    <w:lvl w:ilvl="0">
      <w:lvlJc w:val="left"/>
      <w:lvlText w:val="%1"/>
      <w:numFmt w:val="decimal"/>
      <w:start w:val="1"/>
    </w:lvl>
    <w:lvl w:ilvl="1">
      <w:lvlJc w:val="left"/>
      <w:lvlText w:val="(%2)"/>
      <w:numFmt w:val="lowerLetter"/>
      <w:start w:val="2"/>
    </w:lvl>
  </w:abstractNum>
  <w:abstractNum w:abstractNumId="140">
    <w:nsid w:val="71C1AF98"/>
    <w:multiLevelType w:val="hybridMultilevel"/>
    <w:lvl w:ilvl="0">
      <w:lvlJc w:val="left"/>
      <w:lvlText w:val="%1."/>
      <w:numFmt w:val="decimal"/>
      <w:start w:val="14"/>
    </w:lvl>
    <w:lvl w:ilvl="1">
      <w:lvlJc w:val="left"/>
      <w:lvlText w:val="(%2)"/>
      <w:numFmt w:val="lowerLetter"/>
      <w:start w:val="1"/>
    </w:lvl>
  </w:abstractNum>
  <w:abstractNum w:abstractNumId="141">
    <w:nsid w:val="3D00B9D9"/>
    <w:multiLevelType w:val="hybridMultilevel"/>
    <w:lvl w:ilvl="0">
      <w:lvlJc w:val="left"/>
      <w:lvlText w:val="%1"/>
      <w:numFmt w:val="lowerLetter"/>
      <w:start w:val="1"/>
    </w:lvl>
    <w:lvl w:ilvl="1">
      <w:lvlJc w:val="left"/>
      <w:lvlText w:val="(%2)"/>
      <w:numFmt w:val="lowerLetter"/>
      <w:start w:val="4"/>
    </w:lvl>
  </w:abstractNum>
  <w:abstractNum w:abstractNumId="142">
    <w:nsid w:val="15BCABA8"/>
    <w:multiLevelType w:val="hybridMultilevel"/>
    <w:lvl w:ilvl="0">
      <w:lvlJc w:val="left"/>
      <w:lvlText w:val="(%1)"/>
      <w:numFmt w:val="lowerLetter"/>
      <w:start w:val="26"/>
    </w:lvl>
    <w:lvl w:ilvl="1">
      <w:lvlJc w:val="left"/>
      <w:lvlText w:val="(%2)"/>
      <w:numFmt w:val="lowerLetter"/>
      <w:start w:val="7"/>
    </w:lvl>
  </w:abstractNum>
  <w:abstractNum w:abstractNumId="143">
    <w:nsid w:val="4E0B9A87"/>
    <w:multiLevelType w:val="hybridMultilevel"/>
    <w:lvl w:ilvl="0">
      <w:lvlJc w:val="left"/>
      <w:lvlText w:val="(%1)"/>
      <w:numFmt w:val="lowerLetter"/>
      <w:start w:val="9"/>
    </w:lvl>
  </w:abstractNum>
  <w:abstractNum w:abstractNumId="144">
    <w:nsid w:val="434BAE75"/>
    <w:multiLevelType w:val="hybridMultilevel"/>
    <w:lvl w:ilvl="0">
      <w:lvlJc w:val="left"/>
      <w:lvlText w:val="%1"/>
      <w:numFmt w:val="lowerLetter"/>
      <w:start w:val="1"/>
    </w:lvl>
    <w:lvl w:ilvl="1">
      <w:lvlJc w:val="left"/>
      <w:lvlText w:val="(%2)"/>
      <w:numFmt w:val="lowerLetter"/>
      <w:start w:val="14"/>
    </w:lvl>
  </w:abstractNum>
  <w:abstractNum w:abstractNumId="145">
    <w:nsid w:val="4F38F265"/>
    <w:multiLevelType w:val="hybridMultilevel"/>
    <w:lvl w:ilvl="0">
      <w:lvlJc w:val="left"/>
      <w:lvlText w:val="(%1)"/>
      <w:numFmt w:val="lowerLetter"/>
      <w:start w:val="35"/>
    </w:lvl>
    <w:lvl w:ilvl="1">
      <w:lvlJc w:val="left"/>
      <w:lvlText w:val="(%2)"/>
      <w:numFmt w:val="lowerLetter"/>
      <w:start w:val="15"/>
    </w:lvl>
  </w:abstractNum>
  <w:abstractNum w:abstractNumId="146">
    <w:nsid w:val="4C502870"/>
    <w:multiLevelType w:val="hybridMultilevel"/>
    <w:lvl w:ilvl="0">
      <w:lvlJc w:val="left"/>
      <w:lvlText w:val="(%1)"/>
      <w:numFmt w:val="lowerLetter"/>
      <w:start w:val="18"/>
    </w:lvl>
    <w:lvl w:ilvl="1">
      <w:lvlJc w:val="left"/>
      <w:lvlText w:val="(%2)"/>
      <w:numFmt w:val="lowerRoman"/>
      <w:start w:val="1"/>
    </w:lvl>
  </w:abstractNum>
  <w:abstractNum w:abstractNumId="147">
    <w:nsid w:val="1DE8725A"/>
    <w:multiLevelType w:val="hybridMultilevel"/>
    <w:lvl w:ilvl="0">
      <w:lvlJc w:val="left"/>
      <w:lvlText w:val="%1"/>
      <w:numFmt w:val="lowerLetter"/>
      <w:start w:val="1"/>
    </w:lvl>
    <w:lvl w:ilvl="1">
      <w:lvlJc w:val="left"/>
      <w:lvlText w:val="(%2)"/>
      <w:numFmt w:val="lowerLetter"/>
      <w:start w:val="20"/>
    </w:lvl>
  </w:abstractNum>
  <w:abstractNum w:abstractNumId="148">
    <w:nsid w:val="6A37288A"/>
    <w:multiLevelType w:val="hybridMultilevel"/>
    <w:lvl w:ilvl="0">
      <w:lvlJc w:val="left"/>
      <w:lvlText w:val="(%1)"/>
      <w:numFmt w:val="lowerLetter"/>
      <w:start w:val="25"/>
    </w:lvl>
    <w:lvl w:ilvl="1">
      <w:lvlJc w:val="left"/>
      <w:lvlText w:val="%2"/>
      <w:numFmt w:val="lowerLetter"/>
      <w:start w:val="1"/>
    </w:lvl>
  </w:abstractNum>
  <w:abstractNum w:abstractNumId="149">
    <w:nsid w:val="8F8B73F"/>
    <w:multiLevelType w:val="hybridMultilevel"/>
    <w:lvl w:ilvl="0">
      <w:lvlJc w:val="left"/>
      <w:lvlText w:val="%1."/>
      <w:numFmt w:val="decimal"/>
      <w:start w:val="16"/>
    </w:lvl>
  </w:abstractNum>
  <w:abstractNum w:abstractNumId="150">
    <w:nsid w:val="CA6B462"/>
    <w:multiLevelType w:val="hybridMultilevel"/>
    <w:lvl w:ilvl="0">
      <w:lvlJc w:val="left"/>
      <w:lvlText w:val="%1."/>
      <w:numFmt w:val="decimal"/>
      <w:start w:val="18"/>
    </w:lvl>
    <w:lvl w:ilvl="1">
      <w:lvlJc w:val="left"/>
      <w:lvlText w:val="(%2)"/>
      <w:numFmt w:val="lowerLetter"/>
      <w:start w:val="1"/>
    </w:lvl>
  </w:abstractNum>
  <w:abstractNum w:abstractNumId="151">
    <w:nsid w:val="763CB680"/>
    <w:multiLevelType w:val="hybridMultilevel"/>
    <w:lvl w:ilvl="0">
      <w:lvlJc w:val="left"/>
      <w:lvlText w:val="%1"/>
      <w:numFmt w:val="lowerLetter"/>
      <w:start w:val="1"/>
    </w:lvl>
    <w:lvl w:ilvl="1">
      <w:lvlJc w:val="left"/>
      <w:lvlText w:val="(%2)"/>
      <w:numFmt w:val="lowerLetter"/>
      <w:start w:val="3"/>
    </w:lvl>
  </w:abstractNum>
  <w:abstractNum w:abstractNumId="152">
    <w:nsid w:val="15B71329"/>
    <w:multiLevelType w:val="hybridMultilevel"/>
    <w:lvl w:ilvl="0">
      <w:lvlJc w:val="left"/>
      <w:lvlText w:val="(%1)"/>
      <w:numFmt w:val="lowerLetter"/>
      <w:start w:val="9"/>
    </w:lvl>
    <w:lvl w:ilvl="1">
      <w:lvlJc w:val="left"/>
      <w:lvlText w:val="%2"/>
      <w:numFmt w:val="lowerLetter"/>
      <w:start w:val="1"/>
    </w:lvl>
  </w:abstractNum>
  <w:abstractNum w:abstractNumId="153">
    <w:nsid w:val="3DA97044"/>
    <w:multiLevelType w:val="hybridMultilevel"/>
    <w:lvl w:ilvl="0">
      <w:lvlJc w:val="left"/>
      <w:lvlText w:val="%1."/>
      <w:numFmt w:val="decimal"/>
      <w:start w:val="21"/>
    </w:lvl>
  </w:abstractNum>
  <w:abstractNum w:abstractNumId="154">
    <w:nsid w:val="1CDCE2DE"/>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9"/>
    </w:lvl>
  </w:abstractNum>
  <w:abstractNum w:abstractNumId="155">
    <w:nsid w:val="69D3947C"/>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Letter"/>
      <w:start w:val="35"/>
    </w:lvl>
  </w:abstractNum>
  <w:abstractNum w:abstractNumId="156">
    <w:nsid w:val="2539DFA5"/>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Letter"/>
      <w:start w:val="61"/>
    </w:lvl>
  </w:abstractNum>
  <w:abstractNum w:abstractNumId="157">
    <w:nsid w:val="2DB88089"/>
    <w:multiLevelType w:val="hybridMultilevel"/>
    <w:lvl w:ilvl="0">
      <w:lvlJc w:val="left"/>
      <w:lvlText w:val="%1"/>
      <w:numFmt w:val="upperLetter"/>
      <w:start w:val="1"/>
    </w:lvl>
    <w:lvl w:ilvl="1">
      <w:lvlJc w:val="left"/>
      <w:lvlText w:val="(%2)"/>
      <w:numFmt w:val="lowerLetter"/>
      <w:start w:val="2"/>
    </w:lvl>
    <w:lvl w:ilvl="2">
      <w:lvlJc w:val="left"/>
      <w:lvlText w:val="%3"/>
      <w:numFmt w:val="upperLetter"/>
      <w:start w:val="1"/>
    </w:lvl>
    <w:lvl w:ilvl="3">
      <w:lvlJc w:val="left"/>
      <w:lvlText w:val="%4"/>
      <w:numFmt w:val="lowerLetter"/>
      <w:start w:val="1"/>
    </w:lvl>
  </w:abstractNum>
  <w:abstractNum w:abstractNumId="158">
    <w:nsid w:val="706B674E"/>
    <w:multiLevelType w:val="hybridMultilevel"/>
    <w:lvl w:ilvl="0">
      <w:lvlJc w:val="left"/>
      <w:lvlText w:val="(%1)"/>
      <w:numFmt w:val="upperLetter"/>
      <w:start w:val="3"/>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159">
    <w:nsid w:val="2C106A57"/>
    <w:multiLevelType w:val="hybridMultilevel"/>
    <w:lvl w:ilvl="0">
      <w:lvlJc w:val="left"/>
      <w:lvlText w:val="%1."/>
      <w:numFmt w:val="decimal"/>
      <w:start w:val="26"/>
    </w:lvl>
    <w:lvl w:ilvl="1">
      <w:lvlJc w:val="left"/>
      <w:lvlText w:val="(%2)"/>
      <w:numFmt w:val="lowerLetter"/>
      <w:start w:val="1"/>
    </w:lvl>
  </w:abstractNum>
  <w:abstractNum w:abstractNumId="160">
    <w:nsid w:val="684EED59"/>
    <w:multiLevelType w:val="hybridMultilevel"/>
    <w:lvl w:ilvl="0">
      <w:lvlJc w:val="left"/>
      <w:lvlText w:val="%1."/>
      <w:numFmt w:val="decimal"/>
      <w:start w:val="27"/>
    </w:lvl>
  </w:abstractNum>
  <w:abstractNum w:abstractNumId="161">
    <w:nsid w:val="545EE5D3"/>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62">
    <w:nsid w:val="4A66051"/>
    <w:multiLevelType w:val="hybridMultilevel"/>
    <w:lvl w:ilvl="0">
      <w:lvlJc w:val="left"/>
      <w:lvlText w:val="%1."/>
      <w:numFmt w:val="decimal"/>
      <w:start w:val="33"/>
    </w:lvl>
    <w:lvl w:ilvl="1">
      <w:lvlJc w:val="left"/>
      <w:lvlText w:val="(%2)"/>
      <w:numFmt w:val="lowerLetter"/>
      <w:start w:val="1"/>
    </w:lvl>
  </w:abstractNum>
  <w:abstractNum w:abstractNumId="163">
    <w:nsid w:val="20F4BDAD"/>
    <w:multiLevelType w:val="hybridMultilevel"/>
    <w:lvl w:ilvl="0">
      <w:lvlJc w:val="left"/>
      <w:lvlText w:val="%1"/>
      <w:numFmt w:val="decimal"/>
      <w:start w:val="1"/>
    </w:lvl>
    <w:lvl w:ilvl="1">
      <w:lvlJc w:val="left"/>
      <w:lvlText w:val="(%2)"/>
      <w:numFmt w:val="lowerLetter"/>
      <w:start w:val="7"/>
    </w:lvl>
  </w:abstractNum>
  <w:abstractNum w:abstractNumId="164">
    <w:nsid w:val="639DEFAC"/>
    <w:multiLevelType w:val="hybridMultilevel"/>
    <w:lvl w:ilvl="0">
      <w:lvlJc w:val="left"/>
      <w:lvlText w:val="(%1)"/>
      <w:numFmt w:val="decimal"/>
      <w:start w:val="10"/>
    </w:lvl>
    <w:lvl w:ilvl="1">
      <w:lvlJc w:val="left"/>
      <w:lvlText w:val="(%2)"/>
      <w:numFmt w:val="lowerLetter"/>
      <w:start w:val="8"/>
    </w:lvl>
  </w:abstractNum>
  <w:abstractNum w:abstractNumId="165">
    <w:nsid w:val="501F9786"/>
    <w:multiLevelType w:val="hybridMultilevel"/>
    <w:lvl w:ilvl="0">
      <w:lvlJc w:val="left"/>
      <w:lvlText w:val="(%1)"/>
      <w:numFmt w:val="lowerLetter"/>
      <w:start w:val="13"/>
    </w:lvl>
  </w:abstractNum>
  <w:abstractNum w:abstractNumId="166">
    <w:nsid w:val="6B057295"/>
    <w:multiLevelType w:val="hybridMultilevel"/>
    <w:lvl w:ilvl="0">
      <w:lvlJc w:val="left"/>
      <w:lvlText w:val="(%1)"/>
      <w:numFmt w:val="lowerLetter"/>
      <w:start w:val="18"/>
    </w:lvl>
  </w:abstractNum>
  <w:abstractNum w:abstractNumId="167">
    <w:nsid w:val="2771AC80"/>
    <w:multiLevelType w:val="hybridMultilevel"/>
    <w:lvl w:ilvl="0">
      <w:lvlJc w:val="left"/>
      <w:lvlText w:val="(%1)"/>
      <w:numFmt w:val="lowerRoman"/>
      <w:start w:val="10"/>
    </w:lvl>
  </w:abstractNum>
  <w:abstractNum w:abstractNumId="168">
    <w:nsid w:val="1C4A08EC"/>
    <w:multiLevelType w:val="hybridMultilevel"/>
    <w:lvl w:ilvl="0">
      <w:lvlJc w:val="left"/>
      <w:lvlText w:val="(%1)"/>
      <w:numFmt w:val="lowerRoman"/>
      <w:start w:val="13"/>
    </w:lvl>
    <w:lvl w:ilvl="1">
      <w:lvlJc w:val="left"/>
      <w:lvlText w:val="(%2)"/>
      <w:numFmt w:val="lowerLetter"/>
      <w:start w:val="25"/>
    </w:lvl>
  </w:abstractNum>
  <w:abstractNum w:abstractNumId="169">
    <w:nsid w:val="1958BD17"/>
    <w:multiLevelType w:val="hybridMultilevel"/>
    <w:lvl w:ilvl="0">
      <w:lvlJc w:val="left"/>
      <w:lvlText w:val="%1"/>
      <w:numFmt w:val="decimal"/>
      <w:start w:val="1"/>
    </w:lvl>
    <w:lvl w:ilvl="1">
      <w:lvlJc w:val="left"/>
      <w:lvlText w:val="(%2)"/>
      <w:numFmt w:val="lowerLetter"/>
      <w:start w:val="26"/>
    </w:lvl>
  </w:abstractNum>
  <w:abstractNum w:abstractNumId="170">
    <w:nsid w:val="4E647FE4"/>
    <w:multiLevelType w:val="hybridMultilevel"/>
    <w:lvl w:ilvl="0">
      <w:lvlJc w:val="left"/>
      <w:lvlText w:val="(%1)"/>
      <w:numFmt w:val="decimal"/>
      <w:start w:val="15"/>
    </w:lvl>
    <w:lvl w:ilvl="1">
      <w:lvlJc w:val="left"/>
      <w:lvlText w:val="(%2)"/>
      <w:numFmt w:val="lowerLetter"/>
      <w:start w:val="27"/>
    </w:lvl>
  </w:abstractNum>
  <w:abstractNum w:abstractNumId="171">
    <w:nsid w:val="E0BB885"/>
    <w:multiLevelType w:val="hybridMultilevel"/>
    <w:lvl w:ilvl="0">
      <w:lvlJc w:val="left"/>
      <w:lvlText w:val="%1"/>
      <w:numFmt w:val="lowerLetter"/>
      <w:start w:val="1"/>
    </w:lvl>
    <w:lvl w:ilvl="1">
      <w:lvlJc w:val="left"/>
      <w:lvlText w:val="(%2)"/>
      <w:numFmt w:val="lowerLetter"/>
      <w:start w:val="30"/>
    </w:lvl>
  </w:abstractNum>
  <w:abstractNum w:abstractNumId="172">
    <w:nsid w:val="565976F1"/>
    <w:multiLevelType w:val="hybridMultilevel"/>
    <w:lvl w:ilvl="0">
      <w:lvlJc w:val="left"/>
      <w:lvlText w:val="(%1)"/>
      <w:numFmt w:val="lowerLetter"/>
      <w:start w:val="26"/>
    </w:lvl>
    <w:lvl w:ilvl="1">
      <w:lvlJc w:val="left"/>
      <w:lvlText w:val="%2"/>
      <w:numFmt w:val="lowerLetter"/>
      <w:start w:val="1"/>
    </w:lvl>
  </w:abstractNum>
  <w:abstractNum w:abstractNumId="173">
    <w:nsid w:val="64212B8C"/>
    <w:multiLevelType w:val="hybridMultilevel"/>
    <w:lvl w:ilvl="0">
      <w:lvlJc w:val="left"/>
      <w:lvlText w:val="(%1)"/>
      <w:numFmt w:val="lowerLetter"/>
      <w:start w:val="22"/>
    </w:lvl>
    <w:lvl w:ilvl="1">
      <w:lvlJc w:val="left"/>
      <w:lvlText w:val="%2"/>
      <w:numFmt w:val="lowerLetter"/>
      <w:start w:val="1"/>
    </w:lvl>
  </w:abstractNum>
  <w:abstractNum w:abstractNumId="174">
    <w:nsid w:val="5C17530C"/>
    <w:multiLevelType w:val="hybridMultilevel"/>
    <w:lvl w:ilvl="0">
      <w:lvlJc w:val="left"/>
      <w:lvlText w:val="(%1)"/>
      <w:numFmt w:val="lowerLetter"/>
      <w:start w:val="25"/>
    </w:lvl>
    <w:lvl w:ilvl="1">
      <w:lvlJc w:val="left"/>
      <w:lvlText w:val="%2"/>
      <w:numFmt w:val="lowerLetter"/>
      <w:start w:val="1"/>
    </w:lvl>
  </w:abstractNum>
  <w:abstractNum w:abstractNumId="175">
    <w:nsid w:val="19A52566"/>
    <w:multiLevelType w:val="hybridMultilevel"/>
    <w:lvl w:ilvl="0">
      <w:lvlJc w:val="left"/>
      <w:lvlText w:val="3"/>
      <w:numFmt w:val="bullet"/>
      <w:start w:val="1"/>
    </w:lvl>
  </w:abstractNum>
  <w:abstractNum w:abstractNumId="176">
    <w:nsid w:val="335A1DF1"/>
    <w:multiLevelType w:val="hybridMultilevel"/>
    <w:lvl w:ilvl="0">
      <w:lvlJc w:val="left"/>
      <w:lvlText w:val="(%1)"/>
      <w:numFmt w:val="lowerLetter"/>
      <w:start w:val="32"/>
    </w:lvl>
  </w:abstractNum>
  <w:abstractNum w:abstractNumId="177">
    <w:nsid w:val="28677B7C"/>
    <w:multiLevelType w:val="hybridMultilevel"/>
    <w:lvl w:ilvl="0">
      <w:lvlJc w:val="left"/>
      <w:lvlText w:val="(%1)"/>
      <w:numFmt w:val="lowerRoman"/>
      <w:start w:val="2"/>
    </w:lvl>
  </w:abstractNum>
  <w:abstractNum w:abstractNumId="178">
    <w:nsid w:val="378D97C0"/>
    <w:multiLevelType w:val="hybridMultilevel"/>
    <w:lvl w:ilvl="0">
      <w:lvlJc w:val="left"/>
      <w:lvlText w:val="(%1)"/>
      <w:numFmt w:val="lowerLetter"/>
      <w:start w:val="38"/>
    </w:lvl>
  </w:abstractNum>
  <w:abstractNum w:abstractNumId="179">
    <w:nsid w:val="1D91467C"/>
    <w:multiLevelType w:val="hybridMultilevel"/>
    <w:lvl w:ilvl="0">
      <w:lvlJc w:val="left"/>
      <w:lvlText w:val="(%1)"/>
      <w:numFmt w:val="lowerLetter"/>
      <w:start w:val="41"/>
    </w:lvl>
  </w:abstractNum>
  <w:abstractNum w:abstractNumId="180">
    <w:nsid w:val="316032BB"/>
    <w:multiLevelType w:val="hybridMultilevel"/>
    <w:lvl w:ilvl="0">
      <w:lvlJc w:val="left"/>
      <w:lvlText w:val="4"/>
      <w:numFmt w:val="bullet"/>
      <w:start w:val="1"/>
    </w:lvl>
  </w:abstractNum>
  <w:abstractNum w:abstractNumId="181">
    <w:nsid w:val="44344C22"/>
    <w:multiLevelType w:val="hybridMultilevel"/>
    <w:lvl w:ilvl="0">
      <w:lvlJc w:val="left"/>
      <w:lvlText w:val="(%1)"/>
      <w:numFmt w:val="lowerLetter"/>
      <w:start w:val="46"/>
    </w:lvl>
  </w:abstractNum>
  <w:abstractNum w:abstractNumId="182">
    <w:nsid w:val="13CDFCFC"/>
    <w:multiLevelType w:val="hybridMultilevel"/>
    <w:lvl w:ilvl="0">
      <w:lvlJc w:val="left"/>
      <w:lvlText w:val="(%1)"/>
      <w:numFmt w:val="lowerLetter"/>
      <w:start w:val="53"/>
    </w:lvl>
  </w:abstractNum>
  <w:abstractNum w:abstractNumId="183">
    <w:nsid w:val="471745E4"/>
    <w:multiLevelType w:val="hybridMultilevel"/>
    <w:lvl w:ilvl="0">
      <w:lvlJc w:val="left"/>
      <w:lvlText w:val="%1"/>
      <w:numFmt w:val="decimal"/>
      <w:start w:val="1"/>
    </w:lvl>
    <w:lvl w:ilvl="1">
      <w:lvlJc w:val="left"/>
      <w:lvlText w:val="(%2)"/>
      <w:numFmt w:val="lowerLetter"/>
      <w:start w:val="64"/>
    </w:lvl>
  </w:abstractNum>
  <w:abstractNum w:abstractNumId="184">
    <w:nsid w:val="1DDBC66"/>
    <w:multiLevelType w:val="hybridMultilevel"/>
    <w:lvl w:ilvl="0">
      <w:lvlJc w:val="left"/>
      <w:lvlText w:val="%1."/>
      <w:numFmt w:val="decimal"/>
      <w:start w:val="34"/>
    </w:lvl>
    <w:lvl w:ilvl="1">
      <w:lvlJc w:val="left"/>
      <w:lvlText w:val="%2"/>
      <w:numFmt w:val="lowerLetter"/>
      <w:start w:val="1"/>
    </w:lvl>
  </w:abstractNum>
  <w:abstractNum w:abstractNumId="185">
    <w:nsid w:val="30AADFDA"/>
    <w:multiLevelType w:val="hybridMultilevel"/>
    <w:lvl w:ilvl="0">
      <w:lvlJc w:val="left"/>
      <w:lvlText w:val="%1"/>
      <w:numFmt w:val="lowerLetter"/>
      <w:start w:val="1"/>
    </w:lvl>
    <w:lvl w:ilvl="1">
      <w:lvlJc w:val="left"/>
      <w:lvlText w:val="%2."/>
      <w:numFmt w:val="decimal"/>
      <w:start w:val="35"/>
    </w:lvl>
  </w:abstractNum>
  <w:abstractNum w:abstractNumId="186">
    <w:nsid w:val="30EADA61"/>
    <w:multiLevelType w:val="hybridMultilevel"/>
    <w:lvl w:ilvl="0">
      <w:lvlJc w:val="left"/>
      <w:lvlText w:val="(%1)"/>
      <w:numFmt w:val="lowerLetter"/>
      <w:start w:val="2"/>
    </w:lvl>
    <w:lvl w:ilvl="1">
      <w:lvlJc w:val="left"/>
      <w:lvlText w:val="%2"/>
      <w:numFmt w:val="decimal"/>
      <w:start w:val="1"/>
    </w:lvl>
  </w:abstractNum>
  <w:abstractNum w:abstractNumId="187">
    <w:nsid w:val="27179C0B"/>
    <w:multiLevelType w:val="hybridMultilevel"/>
    <w:lvl w:ilvl="0">
      <w:lvlJc w:val="left"/>
      <w:lvlText w:val="☐"/>
      <w:numFmt w:val="bullet"/>
      <w:start w:val="1"/>
    </w:lvl>
  </w:abstractNum>
  <w:abstractNum w:abstractNumId="188">
    <w:nsid w:val="5E636063"/>
    <w:multiLevelType w:val="hybridMultilevel"/>
    <w:lvl w:ilvl="0">
      <w:lvlJc w:val="left"/>
      <w:lvlText w:val="☐"/>
      <w:numFmt w:val="bullet"/>
      <w:start w:val="1"/>
    </w:lvl>
  </w:abstractNum>
  <w:abstractNum w:abstractNumId="189">
    <w:nsid w:val="215641AF"/>
    <w:multiLevelType w:val="hybridMultilevel"/>
    <w:lvl w:ilvl="0">
      <w:lvlJc w:val="left"/>
      <w:lvlText w:val="☐"/>
      <w:numFmt w:val="bullet"/>
      <w:start w:val="1"/>
    </w:lvl>
  </w:abstractNum>
  <w:abstractNum w:abstractNumId="190">
    <w:nsid w:val="53280662"/>
    <w:multiLevelType w:val="hybridMultilevel"/>
    <w:lvl w:ilvl="0">
      <w:lvlJc w:val="left"/>
      <w:lvlText w:val="%1."/>
      <w:numFmt w:val="decimal"/>
      <w:start w:val="1"/>
    </w:lvl>
  </w:abstractNum>
  <w:abstractNum w:abstractNumId="191">
    <w:nsid w:val="46B24DBC"/>
    <w:multiLevelType w:val="hybridMultilevel"/>
    <w:lvl w:ilvl="0">
      <w:lvlJc w:val="left"/>
      <w:lvlText w:val="(%1)"/>
      <w:numFmt w:val="lowerLetter"/>
      <w:start w:val="1"/>
    </w:lvl>
  </w:abstractNum>
  <w:abstractNum w:abstractNumId="192">
    <w:nsid w:val="75B52783"/>
    <w:multiLevelType w:val="hybridMultilevel"/>
    <w:lvl w:ilvl="0">
      <w:lvlJc w:val="left"/>
      <w:lvlText w:val="(%1)"/>
      <w:numFmt w:val="lowerLetter"/>
      <w:start w:val="3"/>
    </w:lvl>
  </w:abstractNum>
  <w:abstractNum w:abstractNumId="193">
    <w:nsid w:val="57CE66B4"/>
    <w:multiLevelType w:val="hybridMultilevel"/>
    <w:lvl w:ilvl="0">
      <w:lvlJc w:val="left"/>
      <w:lvlText w:val="%1"/>
      <w:numFmt w:val="decimal"/>
      <w:start w:val="1"/>
    </w:lvl>
    <w:lvl w:ilvl="1">
      <w:lvlJc w:val="left"/>
      <w:lvlText w:val="(%2)"/>
      <w:numFmt w:val="lowerLetter"/>
      <w:start w:val="12"/>
    </w:lvl>
  </w:abstractNum>
  <w:abstractNum w:abstractNumId="194">
    <w:nsid w:val="67A70B69"/>
    <w:multiLevelType w:val="hybridMultilevel"/>
    <w:lvl w:ilvl="0">
      <w:lvlJc w:val="left"/>
      <w:lvlText w:val="%1."/>
      <w:numFmt w:val="decimal"/>
      <w:start w:val="2"/>
    </w:lvl>
    <w:lvl w:ilvl="1">
      <w:lvlJc w:val="left"/>
      <w:lvlText w:val="(%2)"/>
      <w:numFmt w:val="lowerLetter"/>
      <w:start w:val="1"/>
    </w:lvl>
  </w:abstractNum>
  <w:abstractNum w:abstractNumId="195">
    <w:nsid w:val="5953172F"/>
    <w:multiLevelType w:val="hybridMultilevel"/>
    <w:lvl w:ilvl="0">
      <w:lvlJc w:val="left"/>
      <w:lvlText w:val="(%1)"/>
      <w:numFmt w:val="lowerLetter"/>
      <w:start w:val="3"/>
    </w:lvl>
  </w:abstractNum>
  <w:abstractNum w:abstractNumId="196">
    <w:nsid w:val="27EDFE3A"/>
    <w:multiLevelType w:val="hybridMultilevel"/>
    <w:lvl w:ilvl="0">
      <w:lvlJc w:val="left"/>
      <w:lvlText w:val="%1"/>
      <w:numFmt w:val="decimal"/>
      <w:start w:val="1"/>
    </w:lvl>
    <w:lvl w:ilvl="1">
      <w:lvlJc w:val="left"/>
      <w:lvlText w:val="(%2)"/>
      <w:numFmt w:val="lowerLetter"/>
      <w:start w:val="6"/>
    </w:lvl>
  </w:abstractNum>
  <w:abstractNum w:abstractNumId="197">
    <w:nsid w:val="52AC7DFF"/>
    <w:multiLevelType w:val="hybridMultilevel"/>
    <w:lvl w:ilvl="0">
      <w:lvlJc w:val="left"/>
      <w:lvlText w:val="(%1)"/>
      <w:numFmt w:val="decimal"/>
      <w:start w:val="20"/>
    </w:lvl>
    <w:lvl w:ilvl="1">
      <w:lvlJc w:val="left"/>
      <w:lvlText w:val="%2"/>
      <w:numFmt w:val="lowerLetter"/>
      <w:start w:val="1"/>
    </w:lvl>
  </w:abstractNum>
  <w:abstractNum w:abstractNumId="198">
    <w:nsid w:val="C4C3AF"/>
    <w:multiLevelType w:val="hybridMultilevel"/>
    <w:lvl w:ilvl="0">
      <w:lvlJc w:val="left"/>
      <w:lvlText w:val="(%1)"/>
      <w:numFmt w:val="lowerLetter"/>
      <w:start w:val="7"/>
    </w:lvl>
  </w:abstractNum>
  <w:abstractNum w:abstractNumId="199">
    <w:nsid w:val="44380727"/>
    <w:multiLevelType w:val="hybridMultilevel"/>
    <w:lvl w:ilvl="0">
      <w:lvlJc w:val="left"/>
      <w:lvlText w:val="%1."/>
      <w:numFmt w:val="decimal"/>
      <w:start w:val="3"/>
    </w:lvl>
  </w:abstractNum>
  <w:abstractNum w:abstractNumId="200">
    <w:nsid w:val="6C053B16"/>
    <w:multiLevelType w:val="hybridMultilevel"/>
    <w:lvl w:ilvl="0">
      <w:lvlJc w:val="left"/>
      <w:lvlText w:val="(%1)"/>
      <w:numFmt w:val="lowerLetter"/>
      <w:start w:val="1"/>
    </w:lvl>
  </w:abstractNum>
  <w:abstractNum w:abstractNumId="201">
    <w:nsid w:val="4F294393"/>
    <w:multiLevelType w:val="hybridMultilevel"/>
    <w:lvl w:ilvl="0">
      <w:lvlJc w:val="left"/>
      <w:lvlText w:val="%1"/>
      <w:numFmt w:val="lowerLetter"/>
      <w:start w:val="1"/>
    </w:lvl>
    <w:lvl w:ilvl="1">
      <w:lvlJc w:val="left"/>
      <w:lvlText w:val="(%2)"/>
      <w:numFmt w:val="lowerLetter"/>
      <w:start w:val="3"/>
    </w:lvl>
  </w:abstractNum>
  <w:abstractNum w:abstractNumId="202">
    <w:nsid w:val="5243BFAC"/>
    <w:multiLevelType w:val="hybridMultilevel"/>
    <w:lvl w:ilvl="0">
      <w:lvlJc w:val="left"/>
      <w:lvlText w:val="(%1)"/>
      <w:numFmt w:val="lowerLetter"/>
      <w:start w:val="61"/>
    </w:lvl>
    <w:lvl w:ilvl="1">
      <w:lvlJc w:val="left"/>
      <w:lvlText w:val="(%2)"/>
      <w:numFmt w:val="lowerLetter"/>
      <w:start w:val="4"/>
    </w:lvl>
  </w:abstractNum>
  <w:abstractNum w:abstractNumId="203">
    <w:nsid w:val="425EB207"/>
    <w:multiLevelType w:val="hybridMultilevel"/>
    <w:lvl w:ilvl="0">
      <w:lvlJc w:val="left"/>
      <w:lvlText w:val="(%1)"/>
      <w:numFmt w:val="lowerLetter"/>
      <w:start w:val="9"/>
    </w:lvl>
    <w:lvl w:ilvl="1">
      <w:lvlJc w:val="left"/>
      <w:lvlText w:val="%2"/>
      <w:numFmt w:val="lowerLetter"/>
      <w:start w:val="1"/>
    </w:lvl>
  </w:abstractNum>
  <w:abstractNum w:abstractNumId="204">
    <w:nsid w:val="334A6F1F"/>
    <w:multiLevelType w:val="hybridMultilevel"/>
    <w:lvl w:ilvl="0">
      <w:lvlJc w:val="left"/>
      <w:lvlText w:val="(%1)"/>
      <w:numFmt w:val="lowerLetter"/>
      <w:start w:val="5"/>
    </w:lvl>
  </w:abstractNum>
  <w:abstractNum w:abstractNumId="205">
    <w:nsid w:val="2E5B12B8"/>
    <w:multiLevelType w:val="hybridMultilevel"/>
    <w:lvl w:ilvl="0">
      <w:lvlJc w:val="left"/>
      <w:lvlText w:val="%1"/>
      <w:numFmt w:val="lowerLetter"/>
      <w:start w:val="1"/>
    </w:lvl>
    <w:lvl w:ilvl="1">
      <w:lvlJc w:val="left"/>
      <w:lvlText w:val="(%2)"/>
      <w:numFmt w:val="lowerLetter"/>
      <w:start w:val="7"/>
    </w:lvl>
  </w:abstractNum>
  <w:abstractNum w:abstractNumId="206">
    <w:nsid w:val="5C03D76D"/>
    <w:multiLevelType w:val="hybridMultilevel"/>
    <w:lvl w:ilvl="0">
      <w:lvlJc w:val="left"/>
      <w:lvlText w:val="(%1)"/>
      <w:numFmt w:val="lowerLetter"/>
      <w:start w:val="9"/>
    </w:lvl>
    <w:lvl w:ilvl="1">
      <w:lvlJc w:val="left"/>
      <w:lvlText w:val="%2"/>
      <w:numFmt w:val="lowerLetter"/>
      <w:start w:val="1"/>
    </w:lvl>
  </w:abstractNum>
  <w:abstractNum w:abstractNumId="207">
    <w:nsid w:val="66A48D11"/>
    <w:multiLevelType w:val="hybridMultilevel"/>
    <w:lvl w:ilvl="0">
      <w:lvlJc w:val="left"/>
      <w:lvlText w:val="%1"/>
      <w:numFmt w:val="lowerLetter"/>
      <w:start w:val="1"/>
    </w:lvl>
    <w:lvl w:ilvl="1">
      <w:lvlJc w:val="left"/>
      <w:lvlText w:val="(%2)"/>
      <w:numFmt w:val="lowerLetter"/>
      <w:start w:val="10"/>
    </w:lvl>
  </w:abstractNum>
  <w:abstractNum w:abstractNumId="208">
    <w:nsid w:val="56C28E34"/>
    <w:multiLevelType w:val="hybridMultilevel"/>
    <w:lvl w:ilvl="0">
      <w:lvlJc w:val="left"/>
      <w:lvlText w:val="(%1)"/>
      <w:numFmt w:val="lowerLetter"/>
      <w:start w:val="9"/>
    </w:lvl>
    <w:lvl w:ilvl="1">
      <w:lvlJc w:val="left"/>
      <w:lvlText w:val="(%2)"/>
      <w:numFmt w:val="lowerLetter"/>
      <w:start w:val="11"/>
    </w:lvl>
  </w:abstractNum>
  <w:abstractNum w:abstractNumId="209">
    <w:nsid w:val="13916F2D"/>
    <w:multiLevelType w:val="hybridMultilevel"/>
    <w:lvl w:ilvl="0">
      <w:lvlJc w:val="left"/>
      <w:lvlText w:val="(%1)"/>
      <w:numFmt w:val="lowerLetter"/>
      <w:start w:val="9"/>
    </w:lvl>
    <w:lvl w:ilvl="1">
      <w:lvlJc w:val="left"/>
      <w:lvlText w:val="(%2)"/>
      <w:numFmt w:val="lowerLetter"/>
      <w:start w:val="12"/>
    </w:lvl>
  </w:abstractNum>
  <w:abstractNum w:abstractNumId="210">
    <w:nsid w:val="435D38D"/>
    <w:multiLevelType w:val="hybridMultilevel"/>
    <w:lvl w:ilvl="0">
      <w:lvlJc w:val="left"/>
      <w:lvlText w:val="%1"/>
      <w:numFmt w:val="lowerLetter"/>
      <w:start w:val="1"/>
    </w:lvl>
    <w:lvl w:ilvl="1">
      <w:lvlJc w:val="left"/>
      <w:lvlText w:val="(%2)"/>
      <w:numFmt w:val="lowerLetter"/>
      <w:start w:val="13"/>
    </w:lvl>
  </w:abstractNum>
  <w:abstractNum w:abstractNumId="211">
    <w:nsid w:val="822C0EF"/>
    <w:multiLevelType w:val="hybridMultilevel"/>
    <w:lvl w:ilvl="0">
      <w:lvlJc w:val="left"/>
      <w:lvlText w:val="(%1)"/>
      <w:numFmt w:val="lowerLetter"/>
      <w:start w:val="35"/>
    </w:lvl>
    <w:lvl w:ilvl="1">
      <w:lvlJc w:val="left"/>
      <w:lvlText w:val="%2"/>
      <w:numFmt w:val="lowerLetter"/>
      <w:start w:val="1"/>
    </w:lvl>
  </w:abstractNum>
  <w:abstractNum w:abstractNumId="212">
    <w:nsid w:val="57C5BB4F"/>
    <w:multiLevelType w:val="hybridMultilevel"/>
    <w:lvl w:ilvl="0">
      <w:lvlJc w:val="left"/>
      <w:lvlText w:val="%1"/>
      <w:numFmt w:val="decimal"/>
      <w:start w:val="1"/>
    </w:lvl>
    <w:lvl w:ilvl="1">
      <w:lvlJc w:val="left"/>
      <w:lvlText w:val="(%2)"/>
      <w:numFmt w:val="lowerLetter"/>
      <w:start w:val="19"/>
    </w:lvl>
  </w:abstractNum>
  <w:abstractNum w:abstractNumId="213">
    <w:nsid w:val="1803D089"/>
    <w:multiLevelType w:val="hybridMultilevel"/>
    <w:lvl w:ilvl="0">
      <w:lvlJc w:val="left"/>
      <w:lvlText w:val="%1."/>
      <w:numFmt w:val="decimal"/>
      <w:start w:val="4"/>
    </w:lvl>
    <w:lvl w:ilvl="1">
      <w:lvlJc w:val="left"/>
      <w:lvlText w:val="(%2)"/>
      <w:numFmt w:val="lowerLetter"/>
      <w:start w:val="1"/>
    </w:lvl>
  </w:abstractNum>
  <w:abstractNum w:abstractNumId="214">
    <w:nsid w:val="4F3A06D4"/>
    <w:multiLevelType w:val="hybridMultilevel"/>
    <w:lvl w:ilvl="0">
      <w:lvlJc w:val="left"/>
      <w:lvlText w:val="%1"/>
      <w:numFmt w:val="decimal"/>
      <w:start w:val="1"/>
    </w:lvl>
    <w:lvl w:ilvl="1">
      <w:lvlJc w:val="left"/>
      <w:lvlText w:val="(%2)"/>
      <w:numFmt w:val="lowerLetter"/>
      <w:start w:val="2"/>
    </w:lvl>
  </w:abstractNum>
  <w:abstractNum w:abstractNumId="215">
    <w:nsid w:val="59A377B6"/>
    <w:multiLevelType w:val="hybridMultilevel"/>
    <w:lvl w:ilvl="0">
      <w:lvlJc w:val="left"/>
      <w:lvlText w:val="%1."/>
      <w:numFmt w:val="decimal"/>
      <w:start w:val="5"/>
    </w:lvl>
    <w:lvl w:ilvl="1">
      <w:lvlJc w:val="left"/>
      <w:lvlText w:val="%2"/>
      <w:numFmt w:val="lowerLetter"/>
      <w:start w:val="1"/>
    </w:lvl>
  </w:abstractNum>
  <w:abstractNum w:abstractNumId="216">
    <w:nsid w:val="48AEB063"/>
    <w:multiLevelType w:val="hybridMultilevel"/>
    <w:lvl w:ilvl="0">
      <w:lvlJc w:val="left"/>
      <w:lvlText w:val="%1."/>
      <w:numFmt w:val="decimal"/>
      <w:start w:val="6"/>
    </w:lvl>
    <w:lvl w:ilvl="1">
      <w:lvlJc w:val="left"/>
      <w:lvlText w:val="(%2)"/>
      <w:numFmt w:val="lowerLetter"/>
      <w:start w:val="1"/>
    </w:lvl>
  </w:abstractNum>
  <w:abstractNum w:abstractNumId="217">
    <w:nsid w:val="24E135"/>
    <w:multiLevelType w:val="hybridMultilevel"/>
    <w:lvl w:ilvl="0">
      <w:lvlJc w:val="left"/>
      <w:lvlText w:val="(%1)"/>
      <w:numFmt w:val="lowerLetter"/>
      <w:start w:val="2"/>
    </w:lvl>
  </w:abstractNum>
  <w:abstractNum w:abstractNumId="218">
    <w:nsid w:val="BB13C1"/>
    <w:multiLevelType w:val="hybridMultilevel"/>
    <w:lvl w:ilvl="0">
      <w:lvlJc w:val="left"/>
      <w:lvlText w:val="%1"/>
      <w:numFmt w:val="decimal"/>
      <w:start w:val="1"/>
    </w:lvl>
    <w:lvl w:ilvl="1">
      <w:lvlJc w:val="left"/>
      <w:lvlText w:val="(%2)"/>
      <w:numFmt w:val="lowerLetter"/>
      <w:start w:val="3"/>
    </w:lvl>
  </w:abstractNum>
  <w:abstractNum w:abstractNumId="219">
    <w:nsid w:val="271210C7"/>
    <w:multiLevelType w:val="hybridMultilevel"/>
    <w:lvl w:ilvl="0">
      <w:lvlJc w:val="left"/>
      <w:lvlText w:val="(%1)"/>
      <w:numFmt w:val="decimal"/>
      <w:start w:val="1"/>
    </w:lvl>
    <w:lvl w:ilvl="1">
      <w:lvlJc w:val="left"/>
      <w:lvlText w:val="%2"/>
      <w:numFmt w:val="lowerLetter"/>
      <w:start w:val="1"/>
    </w:lvl>
  </w:abstractNum>
  <w:abstractNum w:abstractNumId="220">
    <w:nsid w:val="217B22E4"/>
    <w:multiLevelType w:val="hybridMultilevel"/>
    <w:lvl w:ilvl="0">
      <w:lvlJc w:val="left"/>
      <w:lvlText w:val="%1"/>
      <w:numFmt w:val="decimal"/>
      <w:start w:val="1"/>
    </w:lvl>
    <w:lvl w:ilvl="1">
      <w:lvlJc w:val="left"/>
      <w:lvlText w:val="(%2)"/>
      <w:numFmt w:val="lowerLetter"/>
      <w:start w:val="4"/>
    </w:lvl>
  </w:abstractNum>
  <w:abstractNum w:abstractNumId="221">
    <w:nsid w:val="53E31A24"/>
    <w:multiLevelType w:val="hybridMultilevel"/>
    <w:lvl w:ilvl="0">
      <w:lvlJc w:val="left"/>
      <w:lvlText w:val="%1."/>
      <w:numFmt w:val="decimal"/>
      <w:start w:val="7"/>
    </w:lvl>
    <w:lvl w:ilvl="1">
      <w:lvlJc w:val="left"/>
      <w:lvlText w:val="%2"/>
      <w:numFmt w:val="lowerLetter"/>
      <w:start w:val="1"/>
    </w:lvl>
  </w:abstractNum>
  <w:abstractNum w:abstractNumId="222">
    <w:nsid w:val="6DC45E83"/>
    <w:multiLevelType w:val="hybridMultilevel"/>
    <w:lvl w:ilvl="0">
      <w:lvlJc w:val="left"/>
      <w:lvlText w:val="%1."/>
      <w:numFmt w:val="decimal"/>
      <w:start w:val="8"/>
    </w:lvl>
  </w:abstractNum>
  <w:abstractNum w:abstractNumId="223">
    <w:nsid w:val="17304A67"/>
    <w:multiLevelType w:val="hybridMultilevel"/>
    <w:lvl w:ilvl="0">
      <w:lvlJc w:val="left"/>
      <w:lvlText w:val="%1"/>
      <w:numFmt w:val="decimal"/>
      <w:start w:val="1"/>
    </w:lvl>
    <w:lvl w:ilvl="1">
      <w:lvlJc w:val="left"/>
      <w:lvlText w:val="(%2)"/>
      <w:numFmt w:val="lowerLetter"/>
      <w:start w:val="1"/>
    </w:lvl>
  </w:abstractNum>
  <w:abstractNum w:abstractNumId="224">
    <w:nsid w:val="2BB180D8"/>
    <w:multiLevelType w:val="hybridMultilevel"/>
    <w:lvl w:ilvl="0">
      <w:lvlJc w:val="left"/>
      <w:lvlText w:val="%1."/>
      <w:numFmt w:val="decimal"/>
      <w:start w:val="9"/>
    </w:lvl>
    <w:lvl w:ilvl="1">
      <w:lvlJc w:val="left"/>
      <w:lvlText w:val="%2"/>
      <w:numFmt w:val="lowerLetter"/>
      <w:start w:val="1"/>
    </w:lvl>
  </w:abstractNum>
  <w:abstractNum w:abstractNumId="225">
    <w:nsid w:val="556B69ED"/>
    <w:multiLevelType w:val="hybridMultilevel"/>
    <w:lvl w:ilvl="0">
      <w:lvlJc w:val="left"/>
      <w:lvlText w:val="%1."/>
      <w:numFmt w:val="decimal"/>
      <w:start w:val="10"/>
    </w:lvl>
  </w:abstractNum>
  <w:abstractNum w:abstractNumId="226">
    <w:nsid w:val="70836196"/>
    <w:multiLevelType w:val="hybridMultilevel"/>
    <w:lvl w:ilvl="0">
      <w:lvlJc w:val="left"/>
      <w:lvlText w:val="%1."/>
      <w:numFmt w:val="decimal"/>
      <w:start w:val="11"/>
    </w:lvl>
    <w:lvl w:ilvl="1">
      <w:lvlJc w:val="left"/>
      <w:lvlText w:val="(%2)"/>
      <w:numFmt w:val="lowerLetter"/>
      <w:start w:val="1"/>
    </w:lvl>
  </w:abstractNum>
  <w:abstractNum w:abstractNumId="227">
    <w:nsid w:val="539F7F12"/>
    <w:multiLevelType w:val="hybridMultilevel"/>
    <w:lvl w:ilvl="0">
      <w:lvlJc w:val="left"/>
      <w:lvlText w:val="(%1)"/>
      <w:numFmt w:val="lowerLetter"/>
      <w:start w:val="3"/>
    </w:lvl>
  </w:abstractNum>
  <w:abstractNum w:abstractNumId="228">
    <w:nsid w:val="2817E7EC"/>
    <w:multiLevelType w:val="hybridMultilevel"/>
    <w:lvl w:ilvl="0">
      <w:lvlJc w:val="left"/>
      <w:lvlText w:val="(%1)"/>
      <w:numFmt w:val="lowerLetter"/>
      <w:start w:val="6"/>
    </w:lvl>
  </w:abstractNum>
  <w:abstractNum w:abstractNumId="229">
    <w:nsid w:val="71482545"/>
    <w:multiLevelType w:val="hybridMultilevel"/>
    <w:lvl w:ilvl="0">
      <w:lvlJc w:val="left"/>
      <w:lvlText w:val="(%1)"/>
      <w:numFmt w:val="lowerLetter"/>
      <w:start w:val="11"/>
    </w:lvl>
  </w:abstractNum>
  <w:abstractNum w:abstractNumId="230">
    <w:nsid w:val="17D78639"/>
    <w:multiLevelType w:val="hybridMultilevel"/>
    <w:lvl w:ilvl="0">
      <w:lvlJc w:val="left"/>
      <w:lvlText w:val="(%1)"/>
      <w:numFmt w:val="decimal"/>
      <w:start w:val="1"/>
    </w:lvl>
  </w:abstractNum>
  <w:abstractNum w:abstractNumId="231">
    <w:nsid w:val="141D2302"/>
    <w:multiLevelType w:val="hybridMultilevel"/>
    <w:lvl w:ilvl="0">
      <w:lvlJc w:val="left"/>
      <w:lvlText w:val="•"/>
      <w:numFmt w:val="bullet"/>
      <w:start w:val="1"/>
    </w:lvl>
  </w:abstractNum>
  <w:abstractNum w:abstractNumId="232">
    <w:nsid w:val="407168D8"/>
    <w:multiLevelType w:val="hybridMultilevel"/>
    <w:lvl w:ilvl="0">
      <w:lvlJc w:val="left"/>
      <w:lvlText w:val="•"/>
      <w:numFmt w:val="bullet"/>
      <w:start w:val="1"/>
    </w:lvl>
  </w:abstractNum>
  <w:abstractNum w:abstractNumId="233">
    <w:nsid w:val="6A1B45E5"/>
    <w:multiLevelType w:val="hybridMultilevel"/>
    <w:lvl w:ilvl="0">
      <w:lvlJc w:val="left"/>
      <w:lvlText w:val="%1."/>
      <w:numFmt w:val="decimal"/>
      <w:start w:val="1"/>
    </w:lvl>
  </w:abstractNum>
  <w:abstractNum w:abstractNumId="234">
    <w:nsid w:val="567BD50A"/>
    <w:multiLevelType w:val="hybridMultilevel"/>
    <w:lvl w:ilvl="0">
      <w:lvlJc w:val="left"/>
      <w:lvlText w:val="%1."/>
      <w:numFmt w:val="decimal"/>
      <w:start w:val="3"/>
    </w:lvl>
    <w:lvl w:ilvl="1">
      <w:lvlJc w:val="left"/>
      <w:lvlText w:val="(%2)"/>
      <w:numFmt w:val="lowerLetter"/>
      <w:start w:val="1"/>
    </w:lvl>
  </w:abstractNum>
  <w:abstractNum w:abstractNumId="235">
    <w:nsid w:val="73BBD7F8"/>
    <w:multiLevelType w:val="hybridMultilevel"/>
    <w:lvl w:ilvl="0">
      <w:lvlJc w:val="left"/>
      <w:lvlText w:val="%1."/>
      <w:numFmt w:val="decimal"/>
      <w:start w:val="11"/>
    </w:lvl>
  </w:abstractNum>
  <w:abstractNum w:abstractNumId="236">
    <w:nsid w:val="1876589D"/>
    <w:multiLevelType w:val="hybridMultilevel"/>
    <w:lvl w:ilvl="0">
      <w:lvlJc w:val="left"/>
      <w:lvlText w:val="%1."/>
      <w:numFmt w:val="decimal"/>
      <w:start w:val="1"/>
    </w:lvl>
    <w:lvl w:ilvl="1">
      <w:lvlJc w:val="left"/>
      <w:lvlText w:val="(%2)"/>
      <w:numFmt w:val="lowerLetter"/>
      <w:start w:val="1"/>
    </w:lvl>
  </w:abstractNum>
  <w:abstractNum w:abstractNumId="237">
    <w:nsid w:val="327FAC77"/>
    <w:multiLevelType w:val="hybridMultilevel"/>
    <w:lvl w:ilvl="0">
      <w:lvlJc w:val="left"/>
      <w:lvlText w:val="(%1)"/>
      <w:numFmt w:val="lowerLetter"/>
      <w:start w:val="2"/>
    </w:lvl>
  </w:abstractNum>
  <w:abstractNum w:abstractNumId="238">
    <w:nsid w:val="5A606509"/>
    <w:multiLevelType w:val="hybridMultilevel"/>
    <w:lvl w:ilvl="0">
      <w:lvlJc w:val="left"/>
      <w:lvlText w:val="%1"/>
      <w:numFmt w:val="lowerLetter"/>
      <w:start w:val="1"/>
    </w:lvl>
    <w:lvl w:ilvl="1">
      <w:lvlJc w:val="left"/>
      <w:lvlText w:val="(%2)"/>
      <w:numFmt w:val="lowerLetter"/>
      <w:start w:val="1"/>
    </w:lvl>
  </w:abstractNum>
  <w:abstractNum w:abstractNumId="239">
    <w:nsid w:val="6F38E6D1"/>
    <w:multiLevelType w:val="hybridMultilevel"/>
    <w:lvl w:ilvl="0">
      <w:lvlJc w:val="left"/>
      <w:lvlText w:val="(%1)"/>
      <w:numFmt w:val="lowerLetter"/>
      <w:start w:val="35"/>
    </w:lvl>
    <w:lvl w:ilvl="1">
      <w:lvlJc w:val="left"/>
      <w:lvlText w:val="%2"/>
      <w:numFmt w:val="lowerLetter"/>
      <w:start w:val="1"/>
    </w:lvl>
  </w:abstractNum>
  <w:abstractNum w:abstractNumId="240">
    <w:nsid w:val="46111BA5"/>
    <w:multiLevelType w:val="hybridMultilevel"/>
    <w:lvl w:ilvl="0">
      <w:lvlJc w:val="left"/>
      <w:lvlText w:val="(%1)"/>
      <w:numFmt w:val="lowerLetter"/>
      <w:start w:val="2"/>
    </w:lvl>
    <w:lvl w:ilvl="1">
      <w:lvlJc w:val="left"/>
      <w:lvlText w:val="(%2)"/>
      <w:numFmt w:val="lowerLetter"/>
      <w:start w:val="3"/>
    </w:lvl>
  </w:abstractNum>
  <w:abstractNum w:abstractNumId="241">
    <w:nsid w:val="5E96389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2">
    <w:nsid w:val="775BA7C1"/>
    <w:multiLevelType w:val="hybridMultilevel"/>
    <w:lvl w:ilvl="0">
      <w:lvlJc w:val="left"/>
      <w:lvlText w:val="%1"/>
      <w:numFmt w:val="decimal"/>
      <w:start w:val="1"/>
    </w:lvl>
    <w:lvl w:ilvl="1">
      <w:lvlJc w:val="left"/>
      <w:lvlText w:val="(%2)"/>
      <w:numFmt w:val="lowerLetter"/>
      <w:start w:val="1"/>
    </w:lvl>
  </w:abstractNum>
  <w:abstractNum w:abstractNumId="243">
    <w:nsid w:val="1DD6D6F4"/>
    <w:multiLevelType w:val="hybridMultilevel"/>
    <w:lvl w:ilvl="0">
      <w:lvlJc w:val="left"/>
      <w:lvlText w:val="%1."/>
      <w:numFmt w:val="decimal"/>
      <w:start w:val="3"/>
    </w:lvl>
    <w:lvl w:ilvl="1">
      <w:lvlJc w:val="left"/>
      <w:lvlText w:val="(%2)"/>
      <w:numFmt w:val="lowerLetter"/>
      <w:start w:val="1"/>
    </w:lvl>
  </w:abstractNum>
  <w:abstractNum w:abstractNumId="244">
    <w:nsid w:val="769A091F"/>
    <w:multiLevelType w:val="hybridMultilevel"/>
    <w:lvl w:ilvl="0">
      <w:lvlJc w:val="left"/>
      <w:lvlText w:val="%1"/>
      <w:numFmt w:val="decimal"/>
      <w:start w:val="1"/>
    </w:lvl>
    <w:lvl w:ilvl="1">
      <w:lvlJc w:val="left"/>
      <w:lvlText w:val="(%2)"/>
      <w:numFmt w:val="lowerLetter"/>
      <w:start w:val="3"/>
    </w:lvl>
  </w:abstractNum>
  <w:abstractNum w:abstractNumId="245">
    <w:nsid w:val="4695AE95"/>
    <w:multiLevelType w:val="hybridMultilevel"/>
    <w:lvl w:ilvl="0">
      <w:lvlJc w:val="left"/>
      <w:lvlText w:val="%1."/>
      <w:numFmt w:val="decimal"/>
      <w:start w:val="4"/>
    </w:lvl>
    <w:lvl w:ilvl="1">
      <w:lvlJc w:val="left"/>
      <w:lvlText w:val="%2"/>
      <w:numFmt w:val="lowerLetter"/>
      <w:start w:val="1"/>
    </w:lvl>
  </w:abstractNum>
  <w:abstractNum w:abstractNumId="246">
    <w:nsid w:val="777A4EAA"/>
    <w:multiLevelType w:val="hybridMultilevel"/>
    <w:lvl w:ilvl="0">
      <w:lvlJc w:val="left"/>
      <w:lvlText w:val="%1."/>
      <w:numFmt w:val="decimal"/>
      <w:start w:val="6"/>
    </w:lvl>
    <w:lvl w:ilvl="1">
      <w:lvlJc w:val="left"/>
      <w:lvlText w:val="(%2)"/>
      <w:numFmt w:val="lowerLetter"/>
      <w:start w:val="1"/>
    </w:lvl>
  </w:abstractNum>
  <w:abstractNum w:abstractNumId="247">
    <w:nsid w:val="3F48B982"/>
    <w:multiLevelType w:val="hybridMultilevel"/>
    <w:lvl w:ilvl="0">
      <w:lvlJc w:val="left"/>
      <w:lvlText w:val="(%1)"/>
      <w:numFmt w:val="lowerLetter"/>
      <w:start w:val="7"/>
    </w:lvl>
  </w:abstractNum>
  <w:abstractNum w:abstractNumId="248">
    <w:nsid w:val="46BA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9">
    <w:nsid w:val="7835626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250">
    <w:nsid w:val="665ACA49"/>
    <w:multiLevelType w:val="hybridMultilevel"/>
    <w:lvl w:ilvl="0">
      <w:lvlJc w:val="left"/>
      <w:lvlText w:val="%1."/>
      <w:numFmt w:val="decimal"/>
      <w:start w:val="3"/>
    </w:lvl>
    <w:lvl w:ilvl="1">
      <w:lvlJc w:val="left"/>
      <w:lvlText w:val="(%2)"/>
      <w:numFmt w:val="lowerLetter"/>
      <w:start w:val="1"/>
    </w:lvl>
  </w:abstractNum>
  <w:abstractNum w:abstractNumId="251">
    <w:nsid w:val="6835B2AE"/>
    <w:multiLevelType w:val="hybridMultilevel"/>
    <w:lvl w:ilvl="0">
      <w:lvlJc w:val="left"/>
      <w:lvlText w:val="%1."/>
      <w:numFmt w:val="decimal"/>
      <w:start w:val="5"/>
    </w:lvl>
    <w:lvl w:ilvl="1">
      <w:lvlJc w:val="left"/>
      <w:lvlText w:val="(%2)"/>
      <w:numFmt w:val="lowerRoman"/>
      <w:start w:val="1"/>
    </w:lvl>
  </w:abstractNum>
  <w:abstractNum w:abstractNumId="252">
    <w:nsid w:val="4C187C90"/>
    <w:multiLevelType w:val="hybridMultilevel"/>
    <w:lvl w:ilvl="0">
      <w:lvlJc w:val="left"/>
      <w:lvlText w:val="(%1)"/>
      <w:numFmt w:val="lowerLetter"/>
      <w:start w:val="25"/>
    </w:lvl>
    <w:lvl w:ilvl="1">
      <w:lvlJc w:val="left"/>
      <w:lvlText w:val="%2."/>
      <w:numFmt w:val="decimal"/>
      <w:start w:val="6"/>
    </w:lvl>
  </w:abstractNum>
  <w:abstractNum w:abstractNumId="253">
    <w:nsid w:val="541F28C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54">
    <w:nsid w:val="7F65FD16"/>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1"/>
    </w:lvl>
  </w:abstractNum>
  <w:abstractNum w:abstractNumId="255">
    <w:nsid w:val="77C9FD6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56">
    <w:nsid w:val="298A92BA"/>
    <w:multiLevelType w:val="hybridMultilevel"/>
    <w:lvl w:ilvl="0">
      <w:lvlJc w:val="left"/>
      <w:lvlText w:val="%1"/>
      <w:numFmt w:val="lowerRoman"/>
      <w:start w:val="1"/>
    </w:lvl>
    <w:lvl w:ilvl="1">
      <w:lvlJc w:val="left"/>
      <w:lvlText w:val="%2."/>
      <w:numFmt w:val="decimal"/>
      <w:start w:val="9"/>
    </w:lvl>
  </w:abstractNum>
  <w:abstractNum w:abstractNumId="257">
    <w:nsid w:val="6FE95EAC"/>
    <w:multiLevelType w:val="hybridMultilevel"/>
    <w:lvl w:ilvl="0">
      <w:lvlJc w:val="left"/>
      <w:lvlText w:val="(%1)"/>
      <w:numFmt w:val="lowerRoman"/>
      <w:start w:val="1"/>
    </w:lvl>
    <w:lvl w:ilvl="1">
      <w:lvlJc w:val="left"/>
      <w:lvlText w:val="%2"/>
      <w:numFmt w:val="decimal"/>
      <w:start w:val="1"/>
    </w:lvl>
  </w:abstractNum>
  <w:abstractNum w:abstractNumId="258">
    <w:nsid w:val="4B697C7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59">
    <w:nsid w:val="51A27AA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60">
    <w:nsid w:val="613183F2"/>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abstractNum>
  <w:abstractNum w:abstractNumId="261">
    <w:nsid w:val="634102B4"/>
    <w:multiLevelType w:val="hybridMultilevel"/>
    <w:lvl w:ilvl="0">
      <w:lvlJc w:val="left"/>
      <w:lvlText w:val="%1."/>
      <w:numFmt w:val="decimal"/>
      <w:start w:val="13"/>
    </w:lvl>
    <w:lvl w:ilvl="1">
      <w:lvlJc w:val="left"/>
      <w:lvlText w:val="(%2)"/>
      <w:numFmt w:val="lowerLetter"/>
      <w:start w:val="2"/>
    </w:lvl>
  </w:abstractNum>
  <w:abstractNum w:abstractNumId="262">
    <w:nsid w:val="65BF9DA8"/>
    <w:multiLevelType w:val="hybridMultilevel"/>
    <w:lvl w:ilvl="0">
      <w:lvlJc w:val="left"/>
      <w:lvlText w:val="%1"/>
      <w:numFmt w:val="decimal"/>
      <w:start w:val="1"/>
    </w:lvl>
    <w:lvl w:ilvl="1">
      <w:lvlJc w:val="left"/>
      <w:lvlText w:val="(%2)"/>
      <w:numFmt w:val="lowerLetter"/>
      <w:start w:val="6"/>
    </w:lvl>
  </w:abstractNum>
  <w:abstractNum w:abstractNumId="263">
    <w:nsid w:val="21A2ECCA"/>
    <w:multiLevelType w:val="hybridMultilevel"/>
    <w:lvl w:ilvl="0">
      <w:lvlJc w:val="left"/>
      <w:lvlText w:val="%1."/>
      <w:numFmt w:val="decimal"/>
      <w:start w:val="16"/>
    </w:lvl>
    <w:lvl w:ilvl="1">
      <w:lvlJc w:val="left"/>
      <w:lvlText w:val="%2"/>
      <w:numFmt w:val="lowerLetter"/>
      <w:start w:val="1"/>
    </w:lvl>
  </w:abstractNum>
  <w:abstractNum w:abstractNumId="264">
    <w:nsid w:val="4D5C4899"/>
    <w:multiLevelType w:val="hybridMultilevel"/>
    <w:lvl w:ilvl="0">
      <w:lvlJc w:val="left"/>
      <w:lvlText w:val="%1."/>
      <w:numFmt w:val="decimal"/>
      <w:start w:val="19"/>
    </w:lvl>
  </w:abstractNum>
  <w:abstractNum w:abstractNumId="265">
    <w:nsid w:val="3C3B72B2"/>
    <w:multiLevelType w:val="hybridMultilevel"/>
    <w:lvl w:ilvl="0">
      <w:lvlJc w:val="left"/>
      <w:lvlText w:val="•"/>
      <w:numFmt w:val="bullet"/>
      <w:start w:val="1"/>
    </w:lvl>
  </w:abstractNum>
  <w:abstractNum w:abstractNumId="266">
    <w:nsid w:val="155EC4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2026-04-20T16:31:59Z</dcterms:created>
  <dcterms:modified xsi:type="dcterms:W3CDTF">2026-04-20T16:31:59Z</dcterms:modified>
</cp:coreProperties>
</file>